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rStyle w:val="0pt"/>
          <w:sz w:val="22"/>
          <w:szCs w:val="22"/>
        </w:rPr>
        <w:t xml:space="preserve"> 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Pr="00D32203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D1BA1" w:rsidRPr="00D32203" w:rsidRDefault="00DD1329" w:rsidP="00FD6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Відеореєстратор</w:t>
      </w:r>
      <w:proofErr w:type="spellEnd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, відеокамери, жорсткі диски (</w:t>
      </w:r>
      <w:proofErr w:type="spellStart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ДК</w:t>
      </w:r>
      <w:proofErr w:type="spellEnd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 021:2015:32330000-5 Апаратура для запису та відтворення </w:t>
      </w:r>
      <w:proofErr w:type="spellStart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>аудіо-</w:t>
      </w:r>
      <w:proofErr w:type="spellEnd"/>
      <w:r w:rsidRPr="00D32203">
        <w:rPr>
          <w:rFonts w:ascii="Times New Roman" w:hAnsi="Times New Roman" w:cs="Times New Roman"/>
          <w:b/>
          <w:color w:val="0066FF"/>
          <w:u w:val="single"/>
          <w:lang w:bidi="uk-UA"/>
        </w:rPr>
        <w:t xml:space="preserve"> та відеоматеріалу)</w:t>
      </w:r>
    </w:p>
    <w:p w:rsidR="00D10EBD" w:rsidRPr="00D32203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="00A05A93" w:rsidRPr="00D32203">
        <w:rPr>
          <w:rFonts w:ascii="Times New Roman" w:eastAsia="Times New Roman" w:hAnsi="Times New Roman" w:cs="Times New Roman"/>
        </w:rPr>
        <w:t>Кам’янський</w:t>
      </w:r>
      <w:proofErr w:type="spellEnd"/>
      <w:r w:rsidR="00A05A93" w:rsidRPr="00D32203">
        <w:rPr>
          <w:rFonts w:ascii="Times New Roman" w:eastAsia="Times New Roman" w:hAnsi="Times New Roman" w:cs="Times New Roman"/>
        </w:rPr>
        <w:t xml:space="preserve">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DD1329" w:rsidRPr="00D32203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="00DD1BA1" w:rsidRPr="00D32203">
        <w:rPr>
          <w:rFonts w:ascii="Times New Roman" w:hAnsi="Times New Roman" w:cs="Times New Roman"/>
          <w:color w:val="000000"/>
        </w:rPr>
        <w:t xml:space="preserve">     </w:t>
      </w:r>
      <w:r w:rsidRPr="00D32203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D32203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D32203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r w:rsidRPr="00D322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Відеореєстратор</w:t>
      </w:r>
      <w:proofErr w:type="spellEnd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, відеокамери, жорсткі диски (</w:t>
      </w:r>
      <w:proofErr w:type="spellStart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ДК</w:t>
      </w:r>
      <w:proofErr w:type="spellEnd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 xml:space="preserve"> 021:2015:32330000-5 Апаратура для запису та відтворення </w:t>
      </w:r>
      <w:proofErr w:type="spellStart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>аудіо-</w:t>
      </w:r>
      <w:proofErr w:type="spellEnd"/>
      <w:r w:rsidR="00DD1329" w:rsidRPr="00D32203">
        <w:rPr>
          <w:rFonts w:ascii="Times New Roman" w:eastAsia="Times New Roman" w:hAnsi="Times New Roman" w:cs="Times New Roman"/>
          <w:bCs/>
          <w:lang w:bidi="uk-UA"/>
        </w:rPr>
        <w:t xml:space="preserve"> та відеоматеріалу) в т.ч. за лотами:</w:t>
      </w:r>
    </w:p>
    <w:p w:rsidR="00DD1329" w:rsidRPr="00D32203" w:rsidRDefault="00DD1329" w:rsidP="00DD1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2203">
        <w:rPr>
          <w:rFonts w:ascii="Times New Roman" w:eastAsia="Times New Roman" w:hAnsi="Times New Roman" w:cs="Times New Roman"/>
          <w:b/>
        </w:rPr>
        <w:t>Лот  1</w:t>
      </w:r>
      <w:r w:rsidRPr="00D3220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D32203">
        <w:rPr>
          <w:rFonts w:ascii="Times New Roman" w:eastAsia="Times New Roman" w:hAnsi="Times New Roman" w:cs="Times New Roman"/>
        </w:rPr>
        <w:t>Відеореєстратор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32203">
        <w:rPr>
          <w:rFonts w:ascii="Times New Roman" w:eastAsia="Times New Roman" w:hAnsi="Times New Roman" w:cs="Times New Roman"/>
        </w:rPr>
        <w:t>ДК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021:2015:32330000-5 Апаратура для запису та відтворення </w:t>
      </w:r>
      <w:proofErr w:type="spellStart"/>
      <w:r w:rsidRPr="00D32203">
        <w:rPr>
          <w:rFonts w:ascii="Times New Roman" w:eastAsia="Times New Roman" w:hAnsi="Times New Roman" w:cs="Times New Roman"/>
        </w:rPr>
        <w:t>аудіо-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та відеоматеріалу)(далі – Лот 1);</w:t>
      </w:r>
    </w:p>
    <w:p w:rsidR="00DD1329" w:rsidRPr="00D32203" w:rsidRDefault="00DD1329" w:rsidP="00DD1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2203">
        <w:rPr>
          <w:rFonts w:ascii="Times New Roman" w:eastAsia="Times New Roman" w:hAnsi="Times New Roman" w:cs="Times New Roman"/>
          <w:b/>
        </w:rPr>
        <w:t>Лот  2</w:t>
      </w:r>
      <w:r w:rsidRPr="00D32203">
        <w:rPr>
          <w:rFonts w:ascii="Times New Roman" w:eastAsia="Times New Roman" w:hAnsi="Times New Roman" w:cs="Times New Roman"/>
        </w:rPr>
        <w:t>: Відеокамери (</w:t>
      </w:r>
      <w:proofErr w:type="spellStart"/>
      <w:r w:rsidRPr="00D32203">
        <w:rPr>
          <w:rFonts w:ascii="Times New Roman" w:eastAsia="Times New Roman" w:hAnsi="Times New Roman" w:cs="Times New Roman"/>
        </w:rPr>
        <w:t>ДК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021:2015:32330000-5 Апаратура для запису та відтворення </w:t>
      </w:r>
      <w:proofErr w:type="spellStart"/>
      <w:r w:rsidRPr="00D32203">
        <w:rPr>
          <w:rFonts w:ascii="Times New Roman" w:eastAsia="Times New Roman" w:hAnsi="Times New Roman" w:cs="Times New Roman"/>
        </w:rPr>
        <w:t>аудіо-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та відеоматеріалу) (далі – Лот 2);</w:t>
      </w:r>
    </w:p>
    <w:p w:rsidR="00DD1329" w:rsidRPr="00D32203" w:rsidRDefault="00DD1329" w:rsidP="00DD1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32203">
        <w:rPr>
          <w:rFonts w:ascii="Times New Roman" w:eastAsia="Times New Roman" w:hAnsi="Times New Roman" w:cs="Times New Roman"/>
          <w:b/>
        </w:rPr>
        <w:t>Лот  3</w:t>
      </w:r>
      <w:r w:rsidRPr="00D32203">
        <w:rPr>
          <w:rFonts w:ascii="Times New Roman" w:eastAsia="Times New Roman" w:hAnsi="Times New Roman" w:cs="Times New Roman"/>
        </w:rPr>
        <w:t xml:space="preserve">: </w:t>
      </w:r>
      <w:r w:rsidRPr="00D32203">
        <w:rPr>
          <w:rFonts w:ascii="Times New Roman" w:eastAsia="Times New Roman" w:hAnsi="Times New Roman" w:cs="Times New Roman"/>
          <w:b/>
          <w:bCs/>
          <w:lang w:val="ru-RU"/>
        </w:rPr>
        <w:t> </w:t>
      </w:r>
      <w:r w:rsidRPr="00D32203">
        <w:rPr>
          <w:rFonts w:ascii="Times New Roman" w:eastAsia="Times New Roman" w:hAnsi="Times New Roman" w:cs="Times New Roman"/>
          <w:bCs/>
        </w:rPr>
        <w:t>Жорсткі диски</w:t>
      </w:r>
      <w:r w:rsidRPr="00D32203">
        <w:rPr>
          <w:rFonts w:ascii="Times New Roman" w:eastAsia="Times New Roman" w:hAnsi="Times New Roman" w:cs="Times New Roman"/>
        </w:rPr>
        <w:t>(</w:t>
      </w:r>
      <w:proofErr w:type="spellStart"/>
      <w:r w:rsidRPr="00D32203">
        <w:rPr>
          <w:rFonts w:ascii="Times New Roman" w:eastAsia="Times New Roman" w:hAnsi="Times New Roman" w:cs="Times New Roman"/>
        </w:rPr>
        <w:t>ДК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021:2015:32330000-5 Апаратура для запису та відтворення </w:t>
      </w:r>
      <w:proofErr w:type="spellStart"/>
      <w:r w:rsidRPr="00D32203">
        <w:rPr>
          <w:rFonts w:ascii="Times New Roman" w:eastAsia="Times New Roman" w:hAnsi="Times New Roman" w:cs="Times New Roman"/>
        </w:rPr>
        <w:t>аудіо-</w:t>
      </w:r>
      <w:proofErr w:type="spellEnd"/>
      <w:r w:rsidRPr="00D32203">
        <w:rPr>
          <w:rFonts w:ascii="Times New Roman" w:eastAsia="Times New Roman" w:hAnsi="Times New Roman" w:cs="Times New Roman"/>
        </w:rPr>
        <w:t xml:space="preserve"> та відеоматеріалу)(далі – Лот 3) та/або (далі – Товар).</w:t>
      </w:r>
    </w:p>
    <w:p w:rsidR="005C1508" w:rsidRPr="00D32203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D32203">
        <w:rPr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Вид та ідентифікатор процедури закупівлі:</w:t>
      </w:r>
      <w:r w:rsidRPr="00D32203">
        <w:rPr>
          <w:rFonts w:ascii="Times New Roman" w:hAnsi="Times New Roman" w:cs="Times New Roman"/>
          <w:color w:val="000000"/>
        </w:rPr>
        <w:t xml:space="preserve"> </w:t>
      </w:r>
      <w:r w:rsidRPr="00D32203">
        <w:rPr>
          <w:rStyle w:val="40pt"/>
          <w:rFonts w:eastAsiaTheme="minorEastAsia"/>
          <w:b w:val="0"/>
          <w:sz w:val="22"/>
          <w:szCs w:val="22"/>
        </w:rPr>
        <w:t>відкриті торги</w:t>
      </w:r>
      <w:r w:rsidR="00A05A93" w:rsidRPr="00D32203">
        <w:rPr>
          <w:rStyle w:val="40pt"/>
          <w:rFonts w:eastAsiaTheme="minorEastAsia"/>
          <w:b w:val="0"/>
          <w:sz w:val="22"/>
          <w:szCs w:val="22"/>
        </w:rPr>
        <w:t xml:space="preserve"> (з особливостями)</w:t>
      </w:r>
      <w:r w:rsidR="005B562C" w:rsidRPr="00D32203">
        <w:rPr>
          <w:rStyle w:val="40pt"/>
          <w:rFonts w:eastAsiaTheme="minorEastAsia"/>
          <w:b w:val="0"/>
          <w:sz w:val="22"/>
          <w:szCs w:val="22"/>
        </w:rPr>
        <w:t xml:space="preserve"> -</w:t>
      </w:r>
      <w:r w:rsidR="005B562C" w:rsidRPr="00D32203">
        <w:rPr>
          <w:rStyle w:val="40pt"/>
          <w:rFonts w:eastAsiaTheme="minorEastAsia"/>
          <w:sz w:val="22"/>
          <w:szCs w:val="22"/>
        </w:rPr>
        <w:t xml:space="preserve"> </w:t>
      </w:r>
      <w:r w:rsidR="00DD1329" w:rsidRPr="00D32203">
        <w:rPr>
          <w:rFonts w:ascii="Times New Roman" w:hAnsi="Times New Roman" w:cs="Times New Roman"/>
          <w:color w:val="333333"/>
          <w:shd w:val="clear" w:color="auto" w:fill="FFFFFF"/>
        </w:rPr>
        <w:t>UA-2024-2024-03-06-005494</w:t>
      </w:r>
      <w:r w:rsidR="00C63EBD" w:rsidRPr="00D32203">
        <w:rPr>
          <w:rFonts w:ascii="Times New Roman" w:hAnsi="Times New Roman" w:cs="Times New Roman"/>
          <w:color w:val="333333"/>
          <w:shd w:val="clear" w:color="auto" w:fill="FFFFFF"/>
        </w:rPr>
        <w:t>-a</w:t>
      </w:r>
      <w:r w:rsidR="00A05A93" w:rsidRPr="00D32203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827F38" w:rsidRPr="00D322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Pr="00D3220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          Плановий обсяг закупівлі:</w:t>
      </w:r>
      <w:r w:rsidRPr="00D32203">
        <w:rPr>
          <w:sz w:val="22"/>
          <w:szCs w:val="22"/>
        </w:rPr>
        <w:t xml:space="preserve"> </w:t>
      </w:r>
      <w:r w:rsidR="00DD1329" w:rsidRPr="00D32203">
        <w:rPr>
          <w:b w:val="0"/>
          <w:sz w:val="22"/>
          <w:szCs w:val="22"/>
        </w:rPr>
        <w:t>Лот 1:</w:t>
      </w:r>
      <w:r w:rsidR="00DD1329" w:rsidRPr="00D32203">
        <w:rPr>
          <w:sz w:val="22"/>
          <w:szCs w:val="22"/>
        </w:rPr>
        <w:t xml:space="preserve"> </w:t>
      </w:r>
      <w:r w:rsidR="00DD1329" w:rsidRPr="00D32203">
        <w:rPr>
          <w:b w:val="0"/>
          <w:sz w:val="22"/>
          <w:szCs w:val="22"/>
        </w:rPr>
        <w:t>1</w:t>
      </w:r>
      <w:r w:rsidR="00C63EBD" w:rsidRPr="00D32203">
        <w:rPr>
          <w:b w:val="0"/>
          <w:sz w:val="22"/>
          <w:szCs w:val="22"/>
        </w:rPr>
        <w:t xml:space="preserve"> штук</w:t>
      </w:r>
      <w:r w:rsidR="00DD1329" w:rsidRPr="00D32203">
        <w:rPr>
          <w:b w:val="0"/>
          <w:sz w:val="22"/>
          <w:szCs w:val="22"/>
        </w:rPr>
        <w:t>а; Лот 2: 17 штук; Лот 3: 2 штуки</w:t>
      </w:r>
      <w:r w:rsidR="0017367C" w:rsidRPr="00D32203">
        <w:rPr>
          <w:b w:val="0"/>
          <w:sz w:val="22"/>
          <w:szCs w:val="22"/>
        </w:rPr>
        <w:t>.</w:t>
      </w:r>
    </w:p>
    <w:p w:rsidR="00DD1329" w:rsidRPr="00D32203" w:rsidRDefault="005C1508" w:rsidP="00DD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Розмір бюджетного призначення:</w:t>
      </w:r>
      <w:r w:rsidRPr="00D32203">
        <w:rPr>
          <w:rFonts w:ascii="Times New Roman" w:hAnsi="Times New Roman" w:cs="Times New Roman"/>
          <w:color w:val="000000"/>
        </w:rPr>
        <w:t xml:space="preserve"> 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200000,00 грн., в т.ч.  загальний фонд 130000,00 грн. (</w:t>
      </w:r>
      <w:r w:rsidR="00DD1329" w:rsidRPr="00D32203">
        <w:rPr>
          <w:rFonts w:ascii="Times New Roman" w:eastAsia="Times New Roman" w:hAnsi="Times New Roman" w:cs="Times New Roman"/>
          <w:i/>
          <w:color w:val="000000" w:themeColor="text1"/>
        </w:rPr>
        <w:t>Довідка про зміни до кошторису на 2024 рік № 9 від 22.02.2024р., затверджена Рішенням сесії Верхньодніпровської міської ради  від 22.02.2024р. № 1568-32/ІХ «Про бюджет Верхньодніпровської міської територіальної громади на 2024 рік»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) та спеціальний фонд 70000,00 грн. (</w:t>
      </w:r>
      <w:r w:rsidR="00DD1329" w:rsidRPr="00D32203">
        <w:rPr>
          <w:rFonts w:ascii="Times New Roman" w:eastAsia="Times New Roman" w:hAnsi="Times New Roman" w:cs="Times New Roman"/>
          <w:i/>
          <w:color w:val="000000" w:themeColor="text1"/>
        </w:rPr>
        <w:t>Довідка про зміни до кошторису на 2024 рік №139 від 22.02.2024р., затверджена Рішенням сесії Верхньодніпровської міської ради  від 22.02.2024р. № 1568-32/ІХ «Про бюджет Верхньодніпровської міської територіальної громади на 2024 рік»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) по КПКВК 0118230«Інші заходи громадського порядку та безпеки».</w:t>
      </w:r>
    </w:p>
    <w:p w:rsidR="00DD1329" w:rsidRPr="00D32203" w:rsidRDefault="005C1508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 w:rsidRPr="00D32203">
        <w:rPr>
          <w:rStyle w:val="0pt"/>
          <w:rFonts w:eastAsiaTheme="minorEastAsia"/>
          <w:sz w:val="22"/>
          <w:szCs w:val="22"/>
        </w:rPr>
        <w:tab/>
        <w:t xml:space="preserve">Очікувана вартість та </w:t>
      </w:r>
      <w:r w:rsidR="005B562C" w:rsidRPr="00D32203">
        <w:rPr>
          <w:rStyle w:val="0pt"/>
          <w:rFonts w:eastAsiaTheme="minorEastAsia"/>
          <w:sz w:val="22"/>
          <w:szCs w:val="22"/>
        </w:rPr>
        <w:t>обґрунтування</w:t>
      </w:r>
      <w:r w:rsidRPr="00D32203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DD1329" w:rsidRPr="00D32203">
        <w:rPr>
          <w:rFonts w:ascii="Times New Roman" w:hAnsi="Times New Roman" w:cs="Times New Roman"/>
          <w:color w:val="000000" w:themeColor="text1"/>
        </w:rPr>
        <w:t>126869,</w:t>
      </w:r>
      <w:r w:rsidR="00827F38" w:rsidRPr="00D32203">
        <w:rPr>
          <w:rFonts w:ascii="Times New Roman" w:hAnsi="Times New Roman" w:cs="Times New Roman"/>
          <w:color w:val="000000" w:themeColor="text1"/>
        </w:rPr>
        <w:t>00</w:t>
      </w:r>
      <w:r w:rsidR="006F0018" w:rsidRPr="00D32203">
        <w:rPr>
          <w:rFonts w:ascii="Times New Roman" w:hAnsi="Times New Roman" w:cs="Times New Roman"/>
          <w:color w:val="000000" w:themeColor="text1"/>
        </w:rPr>
        <w:t xml:space="preserve"> </w:t>
      </w:r>
      <w:r w:rsidRPr="00D32203">
        <w:rPr>
          <w:rStyle w:val="0pt"/>
          <w:rFonts w:eastAsiaTheme="minorEastAsia"/>
          <w:b w:val="0"/>
          <w:sz w:val="22"/>
          <w:szCs w:val="22"/>
        </w:rPr>
        <w:t xml:space="preserve">грн. </w:t>
      </w:r>
    </w:p>
    <w:p w:rsidR="005C1508" w:rsidRPr="00D32203" w:rsidRDefault="00C63EBD" w:rsidP="007C5219">
      <w:pPr>
        <w:pStyle w:val="1"/>
        <w:spacing w:line="240" w:lineRule="auto"/>
        <w:ind w:right="20"/>
        <w:rPr>
          <w:sz w:val="22"/>
          <w:szCs w:val="22"/>
        </w:rPr>
      </w:pPr>
      <w:r w:rsidRPr="00D32203">
        <w:rPr>
          <w:sz w:val="22"/>
          <w:szCs w:val="22"/>
        </w:rPr>
        <w:t xml:space="preserve">           </w:t>
      </w:r>
      <w:r w:rsidR="00CC5EF4" w:rsidRPr="00D32203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D32203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D32203">
        <w:rPr>
          <w:color w:val="FF0000"/>
          <w:sz w:val="22"/>
          <w:szCs w:val="22"/>
        </w:rPr>
        <w:t xml:space="preserve">            </w:t>
      </w:r>
      <w:r w:rsidRPr="00D32203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</w:t>
      </w:r>
      <w:r w:rsidRPr="00D32203">
        <w:rPr>
          <w:spacing w:val="0"/>
          <w:sz w:val="22"/>
          <w:szCs w:val="22"/>
          <w:lang w:eastAsia="ru-RU"/>
        </w:rPr>
        <w:t xml:space="preserve"> </w:t>
      </w:r>
      <w:r w:rsidRPr="00D32203">
        <w:rPr>
          <w:sz w:val="22"/>
          <w:szCs w:val="22"/>
        </w:rPr>
        <w:t>відповідно до</w:t>
      </w:r>
      <w:r w:rsidRPr="00D32203">
        <w:rPr>
          <w:color w:val="FF0000"/>
          <w:sz w:val="22"/>
          <w:szCs w:val="22"/>
        </w:rPr>
        <w:t xml:space="preserve"> </w:t>
      </w:r>
      <w:r w:rsidR="00F21922" w:rsidRPr="00D32203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вартості предмета закупівлі від 04.03.2024р.</w:t>
      </w:r>
    </w:p>
    <w:p w:rsidR="00CE6F27" w:rsidRPr="00D32203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color w:val="FF0000"/>
        </w:rPr>
        <w:tab/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D32203">
        <w:rPr>
          <w:rFonts w:ascii="Times New Roman" w:hAnsi="Times New Roman" w:cs="Times New Roman"/>
        </w:rPr>
        <w:t xml:space="preserve">урахуванням інформації, отриманої з </w:t>
      </w:r>
      <w:proofErr w:type="spellStart"/>
      <w:r w:rsidR="00CE6F27" w:rsidRPr="00D32203">
        <w:rPr>
          <w:rFonts w:ascii="Times New Roman" w:hAnsi="Times New Roman" w:cs="Times New Roman"/>
        </w:rPr>
        <w:t>Інтернет-ресурсів</w:t>
      </w:r>
      <w:proofErr w:type="spellEnd"/>
      <w:r w:rsidR="006D50C9" w:rsidRPr="00D32203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551"/>
        <w:gridCol w:w="2127"/>
        <w:gridCol w:w="2551"/>
        <w:gridCol w:w="1701"/>
      </w:tblGrid>
      <w:tr w:rsidR="006D50C9" w:rsidRPr="00D32203" w:rsidTr="000D79D0">
        <w:trPr>
          <w:trHeight w:hRule="exact"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№пп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Назва Товару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Обсяг Товару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середня ціна(вартість) за одиницю, грн. з ПДВ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очікувана вартість, грн. з ПДВ</w:t>
            </w:r>
          </w:p>
        </w:tc>
      </w:tr>
      <w:tr w:rsidR="006D50C9" w:rsidRPr="00D32203" w:rsidTr="000D79D0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Лот  1: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Відеореєстратор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             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27203,00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27203,00</w:t>
            </w:r>
          </w:p>
        </w:tc>
      </w:tr>
      <w:tr w:rsidR="006D50C9" w:rsidRPr="00D32203" w:rsidTr="000D79D0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IP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DS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-2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CD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T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63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G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2-4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I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2.8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мм 6Мп 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AcuSense</w:t>
            </w:r>
            <w:proofErr w:type="spellEnd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Bullet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6942,00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6942,00</w:t>
            </w:r>
          </w:p>
        </w:tc>
      </w:tr>
      <w:tr w:rsidR="006D50C9" w:rsidRPr="00D32203" w:rsidTr="000D79D0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IP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МП 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IP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камера 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DS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-2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CD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1047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G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2-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LUF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2.8мм </w:t>
            </w:r>
            <w:r w:rsidRPr="00D32203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4356,00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21780,00</w:t>
            </w:r>
          </w:p>
        </w:tc>
      </w:tr>
      <w:tr w:rsidR="006D50C9" w:rsidRPr="00D32203" w:rsidTr="000D79D0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IP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 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4 МП 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IP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камера 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DS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-2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CD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T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47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G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2-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ru-RU"/>
              </w:rPr>
              <w:t>LUF</w:t>
            </w: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4мм</w:t>
            </w:r>
            <w:r w:rsidRPr="00D32203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 xml:space="preserve"> або еквівалент</w:t>
            </w:r>
          </w:p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54076,00</w:t>
            </w:r>
          </w:p>
        </w:tc>
      </w:tr>
      <w:tr w:rsidR="006D50C9" w:rsidRPr="00D32203" w:rsidTr="000D79D0">
        <w:trPr>
          <w:trHeight w:hRule="exact"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Лот  2: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82798,00</w:t>
            </w:r>
          </w:p>
        </w:tc>
      </w:tr>
      <w:tr w:rsidR="006D50C9" w:rsidRPr="00D32203" w:rsidTr="000D79D0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Лот  3: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Жорсткі диски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8434,00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16868,00</w:t>
            </w:r>
          </w:p>
        </w:tc>
      </w:tr>
      <w:tr w:rsidR="006D50C9" w:rsidRPr="00D32203" w:rsidTr="000D79D0">
        <w:trPr>
          <w:trHeight w:hRule="exact" w:val="28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0C9" w:rsidRPr="00D32203" w:rsidRDefault="006D50C9" w:rsidP="006D5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D32203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126869,00</w:t>
            </w:r>
          </w:p>
        </w:tc>
      </w:tr>
    </w:tbl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 xml:space="preserve">      Таким чином, очікувана вартість предмета закупівлі складає: 126869,00 грн. (Сто двадцять шість тисяч вісімсот шістдесят дев’ять гривень 00 копійок.).</w:t>
      </w:r>
    </w:p>
    <w:p w:rsidR="006D50C9" w:rsidRPr="00D32203" w:rsidRDefault="006D50C9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2"/>
          <w:szCs w:val="22"/>
        </w:rPr>
      </w:pPr>
    </w:p>
    <w:p w:rsidR="00D32203" w:rsidRPr="00D32203" w:rsidRDefault="007C5219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0" w:name="bookmark0"/>
      <w:r w:rsidRPr="00D32203">
        <w:rPr>
          <w:b/>
          <w:color w:val="FF0000"/>
          <w:sz w:val="22"/>
          <w:szCs w:val="22"/>
        </w:rPr>
        <w:t xml:space="preserve">               </w:t>
      </w:r>
      <w:r w:rsidR="005C1508" w:rsidRPr="00D32203">
        <w:rPr>
          <w:b/>
          <w:sz w:val="22"/>
          <w:szCs w:val="22"/>
        </w:rPr>
        <w:t>Об</w:t>
      </w:r>
      <w:r w:rsidRPr="00D32203">
        <w:rPr>
          <w:rStyle w:val="0pt"/>
          <w:sz w:val="22"/>
          <w:szCs w:val="22"/>
        </w:rPr>
        <w:t>ґ</w:t>
      </w:r>
      <w:r w:rsidR="005C1508" w:rsidRPr="00D32203">
        <w:rPr>
          <w:b/>
          <w:sz w:val="22"/>
          <w:szCs w:val="22"/>
        </w:rPr>
        <w:t>рунтування технічних, якісних характеристик</w:t>
      </w:r>
      <w:bookmarkEnd w:id="0"/>
      <w:r w:rsidRPr="00D32203">
        <w:rPr>
          <w:b/>
          <w:sz w:val="22"/>
          <w:szCs w:val="22"/>
        </w:rPr>
        <w:t xml:space="preserve">: </w:t>
      </w:r>
    </w:p>
    <w:p w:rsidR="00D32203" w:rsidRPr="00D32203" w:rsidRDefault="00D32203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r w:rsidRPr="00D32203">
        <w:rPr>
          <w:b/>
          <w:sz w:val="22"/>
          <w:szCs w:val="22"/>
        </w:rPr>
        <w:t xml:space="preserve">Лот 1: </w:t>
      </w:r>
      <w:proofErr w:type="spellStart"/>
      <w:r w:rsidRPr="00D32203">
        <w:rPr>
          <w:b/>
          <w:bCs/>
          <w:spacing w:val="5"/>
          <w:sz w:val="22"/>
          <w:szCs w:val="22"/>
          <w:shd w:val="clear" w:color="auto" w:fill="FFFFFF"/>
          <w:lang w:bidi="uk-UA"/>
        </w:rPr>
        <w:t>Відеореєстратор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993"/>
        <w:gridCol w:w="1134"/>
        <w:gridCol w:w="2409"/>
        <w:gridCol w:w="2694"/>
      </w:tblGrid>
      <w:tr w:rsidR="00D32203" w:rsidRPr="00D32203" w:rsidTr="000D79D0">
        <w:trPr>
          <w:trHeight w:val="489"/>
        </w:trPr>
        <w:tc>
          <w:tcPr>
            <w:tcW w:w="426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№</w:t>
            </w:r>
          </w:p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Назва товару</w:t>
            </w:r>
          </w:p>
        </w:tc>
        <w:tc>
          <w:tcPr>
            <w:tcW w:w="993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103" w:type="dxa"/>
            <w:gridSpan w:val="2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Найменування характеристик/вимог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 xml:space="preserve">Значення </w:t>
            </w: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характеристик/вимог</w:t>
            </w:r>
          </w:p>
        </w:tc>
      </w:tr>
      <w:tr w:rsidR="00D32203" w:rsidRPr="00D32203" w:rsidTr="000D79D0">
        <w:trPr>
          <w:trHeight w:val="873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1.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2203">
              <w:rPr>
                <w:rFonts w:ascii="Times New Roman" w:hAnsi="Times New Roman" w:cs="Times New Roman"/>
              </w:rPr>
              <w:t>Відеореєстратор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lang w:val="en-US"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DS</w:t>
            </w:r>
            <w:r w:rsidRPr="00D32203">
              <w:rPr>
                <w:rFonts w:ascii="Times New Roman" w:hAnsi="Times New Roman" w:cs="Times New Roman"/>
                <w:bCs/>
              </w:rPr>
              <w:t>-7732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NXI</w:t>
            </w:r>
            <w:r w:rsidRPr="00D32203">
              <w:rPr>
                <w:rFonts w:ascii="Times New Roman" w:hAnsi="Times New Roman" w:cs="Times New Roman"/>
                <w:bCs/>
              </w:rPr>
              <w:t>-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D32203">
              <w:rPr>
                <w:rFonts w:ascii="Times New Roman" w:hAnsi="Times New Roman" w:cs="Times New Roman"/>
                <w:bCs/>
              </w:rPr>
              <w:t>4/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D32203">
              <w:rPr>
                <w:rFonts w:ascii="Times New Roman" w:hAnsi="Times New Roman" w:cs="Times New Roman"/>
                <w:bCs/>
              </w:rPr>
              <w:t>(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32203">
              <w:rPr>
                <w:rFonts w:ascii="Times New Roman" w:hAnsi="Times New Roman" w:cs="Times New Roman"/>
                <w:bCs/>
              </w:rPr>
              <w:t>) або еквівалент</w:t>
            </w: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Захист периметра (канали)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4-канальний, 2 МП (мережева HD-камера, H.264/H.265)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Класифікація об'єктів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Розпізнавання облич (канали)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4 (2 МП)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Режим розпізнавання облич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до 16 бібліотек зображень облич із загалом до 20 000 зображень облич (кожне зображення ≤ 4 МБ, загальна ємність ≤ 1 ГБ)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IP камери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Вхідний потік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256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Мбіт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>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Аудіо інтерфейси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1вх/1вих (RCA)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Двостороння розмова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Інтерфейси відео виходу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2 HDMI, 1 VGA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Відео компресія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H.265/H.265+/H.264+/H.264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Підтримка роздільної здатності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32 MP/24 MP/12 MP/8 MP/6 MP/5 MP/4 MP/3 MP/1080p/UXGA/720p/VGA /4CIF/DCIF/2CIF/CIF/QCIF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Частота кадрів (головний потік)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32-канали 1080р - 25 к/с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Тривожні входи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Релейні виходи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Ethernet</w:t>
            </w:r>
            <w:proofErr w:type="spellEnd"/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2 х RJ-45 10/100/1000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Мбіт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>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D32203">
              <w:rPr>
                <w:rFonts w:ascii="Times New Roman" w:hAnsi="Times New Roman" w:cs="Times New Roman"/>
                <w:bCs/>
              </w:rPr>
              <w:t>Сумісність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  <w:lang w:val="en-US"/>
              </w:rPr>
              <w:t>ONVIF (profile S/G); SDK; ISAPI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Внутрішні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 xml:space="preserve"> HDD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  <w:lang w:val="en-US"/>
              </w:rPr>
              <w:t xml:space="preserve">4 SATA </w:t>
            </w:r>
            <w:r w:rsidRPr="00D32203">
              <w:rPr>
                <w:rFonts w:ascii="Times New Roman" w:hAnsi="Times New Roman" w:cs="Times New Roman"/>
                <w:bCs/>
              </w:rPr>
              <w:t>до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 xml:space="preserve"> 10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Тб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hAnsi="Times New Roman" w:cs="Times New Roman"/>
                <w:bCs/>
                <w:lang w:val="en-US"/>
              </w:rPr>
              <w:t>eSATA</w:t>
            </w:r>
            <w:proofErr w:type="spellEnd"/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RS232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RS485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Вихід живлення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12В DC, 1 A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Живлення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220В AC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Потужність споживання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30 Вт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Робоча температура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-10 °C - +55 °C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Розміри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445 × 391 × 75 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Вага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3.6 кг</w:t>
            </w:r>
          </w:p>
        </w:tc>
      </w:tr>
    </w:tbl>
    <w:p w:rsidR="00D32203" w:rsidRPr="00D32203" w:rsidRDefault="00D32203" w:rsidP="00D32203">
      <w:pPr>
        <w:spacing w:after="0"/>
        <w:rPr>
          <w:rFonts w:ascii="Times New Roman" w:hAnsi="Times New Roman" w:cs="Times New Roman"/>
          <w:b/>
        </w:rPr>
      </w:pPr>
      <w:r w:rsidRPr="00D32203">
        <w:rPr>
          <w:rFonts w:ascii="Times New Roman" w:hAnsi="Times New Roman" w:cs="Times New Roman"/>
          <w:b/>
        </w:rPr>
        <w:t xml:space="preserve">Лот 2: </w:t>
      </w:r>
      <w:r w:rsidRPr="00D32203"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  <w:t>Відеокамери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993"/>
        <w:gridCol w:w="1134"/>
        <w:gridCol w:w="2409"/>
        <w:gridCol w:w="2694"/>
      </w:tblGrid>
      <w:tr w:rsidR="00D32203" w:rsidRPr="00D32203" w:rsidTr="00D32203">
        <w:trPr>
          <w:trHeight w:val="313"/>
        </w:trPr>
        <w:tc>
          <w:tcPr>
            <w:tcW w:w="426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№</w:t>
            </w:r>
          </w:p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Назва товару</w:t>
            </w:r>
          </w:p>
        </w:tc>
        <w:tc>
          <w:tcPr>
            <w:tcW w:w="993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103" w:type="dxa"/>
            <w:gridSpan w:val="2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Найменування характеристик/вимог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 xml:space="preserve">Значення </w:t>
            </w: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характеристик/вимог</w:t>
            </w:r>
          </w:p>
        </w:tc>
      </w:tr>
      <w:tr w:rsidR="00D32203" w:rsidRPr="00D32203" w:rsidTr="000D79D0">
        <w:trPr>
          <w:trHeight w:val="593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1.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  <w:bCs/>
                <w:lang w:val="en-US"/>
              </w:rPr>
              <w:t>IP </w:t>
            </w:r>
            <w:r w:rsidRPr="00D32203">
              <w:rPr>
                <w:rFonts w:ascii="Times New Roman" w:hAnsi="Times New Roman" w:cs="Times New Roman"/>
                <w:bCs/>
              </w:rPr>
              <w:t>відеокамера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 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lang w:val="en-US"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  <w:lang w:val="en-US"/>
              </w:rPr>
              <w:t> DS</w:t>
            </w:r>
            <w:r w:rsidRPr="00D32203">
              <w:rPr>
                <w:rFonts w:ascii="Times New Roman" w:hAnsi="Times New Roman" w:cs="Times New Roman"/>
                <w:bCs/>
              </w:rPr>
              <w:t>-2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CD</w:t>
            </w:r>
            <w:r w:rsidRPr="00D32203">
              <w:rPr>
                <w:rFonts w:ascii="Times New Roman" w:hAnsi="Times New Roman" w:cs="Times New Roman"/>
                <w:bCs/>
              </w:rPr>
              <w:t>2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Pr="00D32203">
              <w:rPr>
                <w:rFonts w:ascii="Times New Roman" w:hAnsi="Times New Roman" w:cs="Times New Roman"/>
                <w:bCs/>
              </w:rPr>
              <w:t>63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D32203">
              <w:rPr>
                <w:rFonts w:ascii="Times New Roman" w:hAnsi="Times New Roman" w:cs="Times New Roman"/>
                <w:bCs/>
              </w:rPr>
              <w:t>2-4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I </w:t>
            </w:r>
            <w:r w:rsidRPr="00D32203">
              <w:rPr>
                <w:rFonts w:ascii="Times New Roman" w:hAnsi="Times New Roman" w:cs="Times New Roman"/>
                <w:bCs/>
              </w:rPr>
              <w:t>2.8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D32203">
              <w:rPr>
                <w:rFonts w:ascii="Times New Roman" w:hAnsi="Times New Roman" w:cs="Times New Roman"/>
                <w:bCs/>
              </w:rPr>
              <w:t xml:space="preserve">мм 6Мп </w:t>
            </w:r>
            <w:proofErr w:type="spellStart"/>
            <w:r w:rsidRPr="00D32203">
              <w:rPr>
                <w:rFonts w:ascii="Times New Roman" w:hAnsi="Times New Roman" w:cs="Times New Roman"/>
                <w:bCs/>
                <w:lang w:val="en-US"/>
              </w:rPr>
              <w:t>AcuSense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lang w:val="en-US"/>
              </w:rPr>
              <w:t>Bullet</w:t>
            </w:r>
            <w:r w:rsidRPr="00D32203">
              <w:rPr>
                <w:rFonts w:ascii="Times New Roman" w:hAnsi="Times New Roman" w:cs="Times New Roman"/>
                <w:bCs/>
              </w:rPr>
              <w:t xml:space="preserve">  </w:t>
            </w:r>
            <w:r w:rsidRPr="00D32203">
              <w:rPr>
                <w:rFonts w:ascii="Times New Roman" w:hAnsi="Times New Roman" w:cs="Times New Roman"/>
                <w:bCs/>
                <w:i/>
              </w:rPr>
              <w:t>або еквівалент</w:t>
            </w: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Матриця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1/2.8"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Progressive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Scan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CMOS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Мін. чутливість</w:t>
            </w:r>
          </w:p>
        </w:tc>
        <w:tc>
          <w:tcPr>
            <w:tcW w:w="2694" w:type="dxa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колір: 0,005 лк (F1.6, AGC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вкл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>), Ч / Б: 0 лк з ІЧ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Швидкість затвора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1/3 - 1/100 000 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Придушення шуму (DNR)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3D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WDR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120 дБ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Регулювання по осях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поворот: 0° - 360°, нахил: 0° - 90°, оберт: 0° -360°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Фокусна відстань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2.8мм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Апертура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F1.6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Кути огляду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Г: 107°, В: 57°, Д: 128°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Тип підсвічування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ІЧ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Дальність підсвічування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80м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Відео компресія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H.265/H.264/H.264+/H.265+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Кількість потоків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Роздільна здатність відео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3200 × 1800, 2688 × 1520, 1920 × 1080, 1280 × 720, 640 × 480, 640 × 360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Частота кадрів (головний потік)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3200 × 1800 - 20 к/с, 2688 × 1520, 1920 × 1080, 1280 × 720 - 25 к/с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Частота кадрів (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доп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>. потік)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640 × 480, 640 × 360 - 25 к/с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Частота кадрів (дод2. Потік)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1920 × 1080, 1280 × 720, 640 × 480, 640 × 360 - 10 к/с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BLC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HLC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Метод зберігання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2203">
              <w:rPr>
                <w:rFonts w:ascii="Times New Roman" w:eastAsia="Times New Roman" w:hAnsi="Times New Roman" w:cs="Times New Roman"/>
                <w:lang w:val="en-US"/>
              </w:rPr>
              <w:t xml:space="preserve">NAS (NFS, SMB/CIFS), ANR,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lang w:val="en-US"/>
              </w:rPr>
              <w:t>microSD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lang w:val="en-US"/>
              </w:rPr>
              <w:t xml:space="preserve"> 256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Гб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Програмне забезпечення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2203">
              <w:rPr>
                <w:rFonts w:ascii="Times New Roman" w:eastAsia="Times New Roman" w:hAnsi="Times New Roman" w:cs="Times New Roman"/>
                <w:lang w:val="en-US"/>
              </w:rPr>
              <w:t xml:space="preserve">iVMS-4200,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lang w:val="en-US"/>
              </w:rPr>
              <w:t>Hik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lang w:val="en-US"/>
              </w:rPr>
              <w:t xml:space="preserve">-Connect,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lang w:val="en-US"/>
              </w:rPr>
              <w:t>Hik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lang w:val="en-US"/>
              </w:rPr>
              <w:t>-Central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Сумісність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2203">
              <w:rPr>
                <w:rFonts w:ascii="Times New Roman" w:eastAsia="Times New Roman" w:hAnsi="Times New Roman" w:cs="Times New Roman"/>
                <w:lang w:val="en-US"/>
              </w:rPr>
              <w:t>ONVIF (PROFILE S, PROFILE G), ISAPI, SDK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Мережеві інтерфейси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 RJ45 10 M/100 M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Виявлення об'єкта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73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Спостереження за об'єктом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29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Розпізнавання об'єкту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15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Ідентифікація об'єкта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7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ROI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 xml:space="preserve">1 для головного і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дод</w:t>
            </w:r>
            <w:proofErr w:type="spellEnd"/>
            <w:r w:rsidRPr="00D32203">
              <w:rPr>
                <w:rFonts w:ascii="Times New Roman" w:eastAsia="Times New Roman" w:hAnsi="Times New Roman" w:cs="Times New Roman"/>
              </w:rPr>
              <w:t>. потоку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Перетин лінії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Вторгнення в область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Виявлення облич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Цільові типи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Тригери тривоги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рух (класифікація цілей людей та транспортних засобів), сигналізація несанкціонованого доступу до відео, виключення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Живлення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12В DC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Потужність споживання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12.5 Вт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Робоча температура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-30°C - +60°C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Ступінь захисту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IP67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Розміри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Ø 105 × 293 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Вага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 кг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Матеріал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алюміній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Розмір упаковки (Ш х В х Г)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160 x 160 x 390 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Вага брутто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1.466 кг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Строк гарантії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Не менше 12 місяців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IP відеокамера 4 МП IP камера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Hikvision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 xml:space="preserve"> DS-2CD1047G2-LUF 2.8мм  </w:t>
            </w:r>
            <w:r w:rsidRPr="00D32203">
              <w:rPr>
                <w:rFonts w:ascii="Times New Roman" w:hAnsi="Times New Roman" w:cs="Times New Roman"/>
                <w:bCs/>
                <w:i/>
              </w:rPr>
              <w:t>або еквівалент</w:t>
            </w: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Матриця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 xml:space="preserve">1/3"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Progressive</w:t>
            </w:r>
            <w:proofErr w:type="spellEnd"/>
            <w:r w:rsidRPr="00D322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Scan</w:t>
            </w:r>
            <w:proofErr w:type="spellEnd"/>
            <w:r w:rsidRPr="00D32203">
              <w:rPr>
                <w:rFonts w:ascii="Times New Roman" w:eastAsia="Times New Roman" w:hAnsi="Times New Roman" w:cs="Times New Roman"/>
              </w:rPr>
              <w:t xml:space="preserve"> CMOS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Мін. чутливість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колір: 0,001 лк (F1.0, AGC ON), 0 лк з видимим світлом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Швидкість затвора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1/3 - 1/100 000 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Play" w:hAnsi="Play"/>
                <w:shd w:val="clear" w:color="auto" w:fill="F2F2F2"/>
              </w:rPr>
              <w:t>Придушення шуму (DNR)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3D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WDR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120 дБ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BLC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HLC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ROI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 зона для головного потоку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Регулювання по осям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Панорамування: 0° - 360°, нахил: 0° - 90°, обертання: 0° - 360°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Кути огляду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Г: 96°, В: 52°,Д: 113°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Фокусна відстань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2.8мм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Апертура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F1.0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Тип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подсвічування</w:t>
            </w:r>
            <w:proofErr w:type="spellEnd"/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видиме світло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Дальность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подсвічування</w:t>
            </w:r>
            <w:proofErr w:type="spellEnd"/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30м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Відео компресія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H.265+/H.265/H.264+/H.264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Кількість потоків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Роздільна здатність відео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2560 × 1440, 1920 × 1080, 1280 × 720, 640 × 480, 640 × 360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Частота кадрів (головний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поток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2560 × 1440 - 20 к/с; 1920 × 1080, 1280 × 720 - 25 к/с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Частота кадрів (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доп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>. потік)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1280 × 720, 640 × 480, 640 × 360 - 25 к/с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Метод зберігання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 xml:space="preserve">FTP,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Pr="00D32203">
              <w:rPr>
                <w:rFonts w:ascii="Times New Roman" w:eastAsia="Times New Roman" w:hAnsi="Times New Roman" w:cs="Times New Roman"/>
              </w:rPr>
              <w:t xml:space="preserve"> SD карта до 256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Гб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Програмне забезпечення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iVMS-4200, Hik-Connect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Сумісність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2203">
              <w:rPr>
                <w:rFonts w:ascii="Times New Roman" w:eastAsia="Times New Roman" w:hAnsi="Times New Roman" w:cs="Times New Roman"/>
                <w:lang w:val="en-US"/>
              </w:rPr>
              <w:t>ONVIF (Profile S, Profile T, Profile G), ISAPI, SDK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Аудіо інтерфейси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встроенный</w:t>
            </w:r>
            <w:proofErr w:type="spellEnd"/>
            <w:r w:rsidRPr="00D322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</w:rPr>
              <w:t>микрофон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Мережеві інтерфейси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 RJ45 10 M/100 M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Виявлення об’єкта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64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Спостереження за об’єктом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25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Розпізнавання об’єкту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Ідентифікація об’єкта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6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Play" w:hAnsi="Play"/>
                <w:shd w:val="clear" w:color="auto" w:fill="FFFFFF"/>
              </w:rPr>
              <w:t>Основні функції обробки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4 зони маскування</w:t>
            </w:r>
          </w:p>
        </w:tc>
      </w:tr>
      <w:tr w:rsidR="00D32203" w:rsidRPr="00D32203" w:rsidTr="000D79D0">
        <w:trPr>
          <w:trHeight w:val="27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Play" w:hAnsi="Play"/>
                <w:shd w:val="clear" w:color="auto" w:fill="FFFFFF"/>
              </w:rPr>
              <w:t>Цільові типи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Тригери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тревоги</w:t>
            </w:r>
            <w:proofErr w:type="spellEnd"/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виявлення руху (підтримка спрацьовування сигналізації за вказаними типами цілей (людина та транспортний засіб)), сигналізація саботажу, винятки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Живлення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12В DC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PoE</w:t>
            </w:r>
            <w:proofErr w:type="spellEnd"/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802.3af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Потужність споживання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6.5 Вт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Рабоча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 температура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-30 °C - +60 °C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Ступінь захисту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IP67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Розміри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Ø 77 × 165 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Вага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430 г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Матеріал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алюміній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Строк гарантії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Не менше 12 місяців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IP відеокамера 4 МП IP камера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Cs/>
              </w:rPr>
              <w:t>Hikvision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Cs/>
              </w:rPr>
              <w:t xml:space="preserve"> DS-2CD1T47G2-LUF 4мм  </w:t>
            </w:r>
            <w:r w:rsidRPr="00D32203">
              <w:rPr>
                <w:rFonts w:ascii="Times New Roman" w:eastAsia="Times New Roman" w:hAnsi="Times New Roman" w:cs="Times New Roman"/>
                <w:bCs/>
                <w:i/>
              </w:rPr>
              <w:t>або еквівалент</w:t>
            </w: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 xml:space="preserve">       11</w:t>
            </w: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Розширення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4 МП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Кріплення об’єктива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М12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Рабоча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температура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-30° C ~ +60° C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BLC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DWDR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Підтримує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WDR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120 дБ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Апертура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F1.0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Відео компресія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H265+/H265/H264+/H264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Дальність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підсвітки</w:t>
            </w:r>
            <w:proofErr w:type="spellEnd"/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50м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Ідентифікація об’єкта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Локальне сховище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microSD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microSDHC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microSDXC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до 256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Гб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Матриця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1/2.8"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Progressive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Scan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CMOS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Мін. чутливість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0,001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Lux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Спостереження за об’єктом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32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Виявлення об'єкта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82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Разпізнавання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об’єкта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 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Регулювання по осям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Поворот: 0° ~ 360°; Нахил: 0° ~ 180°; Обертання: 0° ~ 360°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bottom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Мережеві протоколи</w:t>
            </w:r>
          </w:p>
        </w:tc>
        <w:tc>
          <w:tcPr>
            <w:tcW w:w="2694" w:type="dxa"/>
            <w:vAlign w:val="bottom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TCP/IP, ICMP, DHCP, DNS, HTTP, RTP, RTSP, NTP, IGMP, IPv6, UDP,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QoS</w:t>
            </w:r>
            <w:proofErr w:type="spellEnd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FTP, SMTP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Швидкість затвору</w:t>
            </w:r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1/3 - 1/100 000 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Ступінь захисту</w:t>
            </w:r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IP67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Тип об’єктива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Фиксированный</w:t>
            </w:r>
            <w:proofErr w:type="spellEnd"/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Фіксований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Тип </w:t>
            </w:r>
            <w:proofErr w:type="spellStart"/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підсвітки</w:t>
            </w:r>
            <w:proofErr w:type="spellEnd"/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Видиме світло (регульований)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Кути обзору</w:t>
            </w:r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Г: 78°; В: 40°; Д: 89°</w:t>
            </w:r>
          </w:p>
        </w:tc>
      </w:tr>
      <w:tr w:rsidR="00D32203" w:rsidRPr="00D32203" w:rsidTr="000D79D0">
        <w:trPr>
          <w:trHeight w:val="239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Фокусна відстань</w:t>
            </w:r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 мм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bCs/>
              </w:rPr>
              <w:t>Строк гарантії</w:t>
            </w:r>
          </w:p>
        </w:tc>
        <w:tc>
          <w:tcPr>
            <w:tcW w:w="2694" w:type="dxa"/>
            <w:vAlign w:val="center"/>
          </w:tcPr>
          <w:p w:rsidR="00D32203" w:rsidRPr="00D32203" w:rsidRDefault="00D32203" w:rsidP="000D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Не менше 12 місяців</w:t>
            </w:r>
          </w:p>
        </w:tc>
      </w:tr>
    </w:tbl>
    <w:p w:rsidR="00D32203" w:rsidRPr="00D32203" w:rsidRDefault="00D32203" w:rsidP="00D32203">
      <w:pPr>
        <w:spacing w:after="0"/>
        <w:rPr>
          <w:rFonts w:ascii="Times New Roman" w:hAnsi="Times New Roman" w:cs="Times New Roman"/>
          <w:b/>
        </w:rPr>
      </w:pPr>
      <w:r w:rsidRPr="00D32203">
        <w:rPr>
          <w:rFonts w:ascii="Times New Roman" w:hAnsi="Times New Roman" w:cs="Times New Roman"/>
          <w:b/>
        </w:rPr>
        <w:t xml:space="preserve">Лот 3: </w:t>
      </w:r>
      <w:r w:rsidRPr="00D32203"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  <w:t>Жорсткі диски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993"/>
        <w:gridCol w:w="1134"/>
        <w:gridCol w:w="2409"/>
        <w:gridCol w:w="2694"/>
      </w:tblGrid>
      <w:tr w:rsidR="00D32203" w:rsidRPr="00D32203" w:rsidTr="00D32203">
        <w:trPr>
          <w:trHeight w:val="359"/>
        </w:trPr>
        <w:tc>
          <w:tcPr>
            <w:tcW w:w="426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№</w:t>
            </w:r>
          </w:p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Назва товару</w:t>
            </w:r>
          </w:p>
        </w:tc>
        <w:tc>
          <w:tcPr>
            <w:tcW w:w="993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vMerge w:val="restart"/>
            <w:vAlign w:val="center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103" w:type="dxa"/>
            <w:gridSpan w:val="2"/>
            <w:vAlign w:val="center"/>
          </w:tcPr>
          <w:p w:rsidR="00D32203" w:rsidRPr="00D32203" w:rsidRDefault="00D32203" w:rsidP="00D3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Найменування характеристик/вимог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 xml:space="preserve">Значення </w:t>
            </w:r>
            <w:r w:rsidRPr="00D32203">
              <w:rPr>
                <w:rFonts w:ascii="Times New Roman" w:eastAsia="Times New Roman" w:hAnsi="Times New Roman" w:cs="Times New Roman"/>
                <w:color w:val="000000"/>
              </w:rPr>
              <w:t>характеристик/вимог</w:t>
            </w:r>
          </w:p>
        </w:tc>
      </w:tr>
      <w:tr w:rsidR="00D32203" w:rsidRPr="00D32203" w:rsidTr="000D79D0">
        <w:trPr>
          <w:trHeight w:val="421"/>
        </w:trPr>
        <w:tc>
          <w:tcPr>
            <w:tcW w:w="426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1.</w:t>
            </w: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 xml:space="preserve">Жорсткі диски 8TB </w:t>
            </w:r>
            <w:proofErr w:type="spellStart"/>
            <w:r w:rsidRPr="00D32203">
              <w:rPr>
                <w:rFonts w:ascii="Times New Roman" w:hAnsi="Times New Roman" w:cs="Times New Roman"/>
              </w:rPr>
              <w:t>Seagate</w:t>
            </w:r>
            <w:proofErr w:type="spellEnd"/>
            <w:r w:rsidRPr="00D32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03">
              <w:rPr>
                <w:rFonts w:ascii="Times New Roman" w:hAnsi="Times New Roman" w:cs="Times New Roman"/>
              </w:rPr>
              <w:t>SkyHawk</w:t>
            </w:r>
            <w:proofErr w:type="spellEnd"/>
            <w:r w:rsidRPr="00D32203">
              <w:rPr>
                <w:rFonts w:ascii="Times New Roman" w:hAnsi="Times New Roman" w:cs="Times New Roman"/>
              </w:rPr>
              <w:t xml:space="preserve"> ST8000VX010</w:t>
            </w:r>
            <w:r w:rsidRPr="00D32203">
              <w:rPr>
                <w:rFonts w:ascii="Times New Roman" w:hAnsi="Times New Roman" w:cs="Times New Roman"/>
                <w:bCs/>
              </w:rPr>
              <w:t xml:space="preserve"> </w:t>
            </w:r>
            <w:r w:rsidRPr="00D32203">
              <w:rPr>
                <w:rFonts w:ascii="Times New Roman" w:hAnsi="Times New Roman" w:cs="Times New Roman"/>
                <w:bCs/>
                <w:i/>
              </w:rPr>
              <w:t>або еквівалент</w:t>
            </w:r>
          </w:p>
        </w:tc>
        <w:tc>
          <w:tcPr>
            <w:tcW w:w="993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Merge w:val="restart"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Тип пристрою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Жорсткий диск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Тип жорсткого диску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7" w:history="1">
              <w:r w:rsidRPr="00D32203">
                <w:rPr>
                  <w:rStyle w:val="a8"/>
                </w:rPr>
                <w:t>HDD</w:t>
              </w:r>
            </w:hyperlink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Призначення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Для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відеоспостереження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Ємність накопичувача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8ТБ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Інтерфейс накопичувача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SATA III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Форм-фактор</w:t>
            </w:r>
            <w:proofErr w:type="spellEnd"/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D32203">
                <w:rPr>
                  <w:rStyle w:val="a8"/>
                </w:rPr>
                <w:t>3,5"</w:t>
              </w:r>
            </w:hyperlink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Тип встановлення </w:t>
            </w:r>
            <w:r w:rsidRPr="00D32203">
              <w:rPr>
                <w:rFonts w:ascii="Times New Roman" w:hAnsi="Times New Roman" w:cs="Times New Roman"/>
                <w:bCs/>
              </w:rPr>
              <w:lastRenderedPageBreak/>
              <w:t>жорсткого диску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lastRenderedPageBreak/>
              <w:t>внутрішній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Швидкість обертання шпинделя </w:t>
            </w:r>
            <w:hyperlink r:id="rId9" w:history="1">
              <w:r w:rsidRPr="00D32203">
                <w:rPr>
                  <w:rStyle w:val="a8"/>
                </w:rPr>
                <w:t>HDD</w:t>
              </w:r>
            </w:hyperlink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5400 об/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хв</w:t>
            </w:r>
            <w:proofErr w:type="spellEnd"/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Швидкість передачі даних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 w:rsidRPr="00D32203">
              <w:rPr>
                <w:rFonts w:ascii="Times New Roman" w:hAnsi="Times New Roman" w:cs="Times New Roman"/>
                <w:bCs/>
              </w:rPr>
              <w:t>ГБіт</w:t>
            </w:r>
            <w:proofErr w:type="spellEnd"/>
            <w:r w:rsidRPr="00D32203">
              <w:rPr>
                <w:rFonts w:ascii="Times New Roman" w:hAnsi="Times New Roman" w:cs="Times New Roman"/>
                <w:bCs/>
              </w:rPr>
              <w:t>/с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Обсяг буферу </w:t>
            </w:r>
            <w:hyperlink r:id="rId10" w:history="1">
              <w:r w:rsidRPr="00D32203">
                <w:rPr>
                  <w:rStyle w:val="a8"/>
                </w:rPr>
                <w:t>HDD</w:t>
              </w:r>
            </w:hyperlink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256 МБ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Arial" w:eastAsia="Times New Roman" w:hAnsi="Arial" w:cs="Arial"/>
                <w:color w:val="181818"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Робоча температура, </w:t>
            </w:r>
            <w:r w:rsidRPr="00D32203">
              <w:rPr>
                <w:rFonts w:ascii="Arial" w:eastAsia="Times New Roman" w:hAnsi="Arial" w:cs="Arial"/>
                <w:color w:val="181818"/>
              </w:rPr>
              <w:t>°C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203">
              <w:rPr>
                <w:rFonts w:ascii="Times New Roman" w:eastAsia="Times New Roman" w:hAnsi="Times New Roman" w:cs="Times New Roman"/>
              </w:rPr>
              <w:t>0 ~ +65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Розміри, мм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147х101,85х20,2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Вага, г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490</w:t>
            </w:r>
          </w:p>
        </w:tc>
      </w:tr>
      <w:tr w:rsidR="00D32203" w:rsidRPr="00D32203" w:rsidTr="000D79D0">
        <w:trPr>
          <w:trHeight w:val="365"/>
        </w:trPr>
        <w:tc>
          <w:tcPr>
            <w:tcW w:w="426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32203" w:rsidRPr="00D32203" w:rsidRDefault="00D32203" w:rsidP="000D79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2203" w:rsidRPr="00D32203" w:rsidRDefault="00D32203" w:rsidP="000D7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 xml:space="preserve">Строк гарантії </w:t>
            </w:r>
          </w:p>
        </w:tc>
        <w:tc>
          <w:tcPr>
            <w:tcW w:w="2694" w:type="dxa"/>
          </w:tcPr>
          <w:p w:rsidR="00D32203" w:rsidRPr="00D32203" w:rsidRDefault="00D32203" w:rsidP="00D322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203">
              <w:rPr>
                <w:rFonts w:ascii="Times New Roman" w:hAnsi="Times New Roman" w:cs="Times New Roman"/>
                <w:bCs/>
              </w:rPr>
              <w:t>Не менше 12 місяців</w:t>
            </w:r>
          </w:p>
        </w:tc>
      </w:tr>
    </w:tbl>
    <w:p w:rsidR="00D32203" w:rsidRPr="00D32203" w:rsidRDefault="00D32203" w:rsidP="00D32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 Дана закупівля здійснюється замовником на виконання Програми «Прозора </w:t>
      </w:r>
      <w:proofErr w:type="spellStart"/>
      <w:r w:rsidRPr="00D32203">
        <w:rPr>
          <w:rFonts w:ascii="Times New Roman" w:hAnsi="Times New Roman" w:cs="Times New Roman"/>
        </w:rPr>
        <w:t>Верхньодніпровщина</w:t>
      </w:r>
      <w:proofErr w:type="spellEnd"/>
      <w:r w:rsidRPr="00D32203">
        <w:rPr>
          <w:rFonts w:ascii="Times New Roman" w:hAnsi="Times New Roman" w:cs="Times New Roman"/>
        </w:rPr>
        <w:t xml:space="preserve">» Муніципальна система </w:t>
      </w:r>
      <w:proofErr w:type="spellStart"/>
      <w:r w:rsidRPr="00D32203">
        <w:rPr>
          <w:rFonts w:ascii="Times New Roman" w:hAnsi="Times New Roman" w:cs="Times New Roman"/>
        </w:rPr>
        <w:t>відеоспостереження</w:t>
      </w:r>
      <w:proofErr w:type="spellEnd"/>
      <w:r w:rsidRPr="00D32203">
        <w:rPr>
          <w:rFonts w:ascii="Times New Roman" w:hAnsi="Times New Roman" w:cs="Times New Roman"/>
        </w:rPr>
        <w:t xml:space="preserve">» на 2021-2025 роки, затвердженої рішенням сесії Верхньодніпровської міської ради від 27.05.2021 року № 281-7/ІХ (зі змінами), очікуваним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руху. </w:t>
      </w:r>
    </w:p>
    <w:p w:rsidR="00D32203" w:rsidRPr="00D32203" w:rsidRDefault="00D32203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</w:p>
    <w:p w:rsidR="009F1EDD" w:rsidRPr="00D32203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C09E0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Уповноважена особа</w:t>
      </w:r>
      <w:r w:rsidR="00015A94" w:rsidRPr="00D32203">
        <w:rPr>
          <w:rFonts w:ascii="Times New Roman" w:hAnsi="Times New Roman" w:cs="Times New Roman"/>
        </w:rPr>
        <w:t>,</w:t>
      </w:r>
      <w:r w:rsidR="002C09E0" w:rsidRPr="00D32203">
        <w:rPr>
          <w:rFonts w:ascii="Times New Roman" w:hAnsi="Times New Roman" w:cs="Times New Roman"/>
        </w:rPr>
        <w:t xml:space="preserve"> </w:t>
      </w:r>
    </w:p>
    <w:p w:rsidR="00FD6290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 xml:space="preserve">головний спеціаліст відділу </w:t>
      </w:r>
      <w:r w:rsidR="00FD6290" w:rsidRPr="00D32203">
        <w:rPr>
          <w:rFonts w:ascii="Times New Roman" w:hAnsi="Times New Roman" w:cs="Times New Roman"/>
        </w:rPr>
        <w:t xml:space="preserve"> </w:t>
      </w:r>
    </w:p>
    <w:p w:rsidR="009F1EDD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бухгалтерського обліку та звітності</w:t>
      </w:r>
      <w:r w:rsidR="009F1EDD" w:rsidRPr="00D32203">
        <w:rPr>
          <w:rFonts w:ascii="Times New Roman" w:hAnsi="Times New Roman" w:cs="Times New Roman"/>
        </w:rPr>
        <w:t xml:space="preserve">                                                         Наталія ВОРОНА</w:t>
      </w:r>
    </w:p>
    <w:sectPr w:rsidR="009F1EDD" w:rsidRPr="00D32203" w:rsidSect="00015A94">
      <w:footerReference w:type="default" r:id="rId11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7C5219" w:rsidRDefault="00E46C16">
        <w:pPr>
          <w:pStyle w:val="a6"/>
          <w:jc w:val="center"/>
        </w:pPr>
        <w:fldSimple w:instr=" PAGE   \* MERGEFORMAT ">
          <w:r w:rsidR="00D32203">
            <w:rPr>
              <w:noProof/>
            </w:rPr>
            <w:t>6</w:t>
          </w:r>
        </w:fldSimple>
      </w:p>
    </w:sdtContent>
  </w:sdt>
  <w:p w:rsidR="007C5219" w:rsidRDefault="007C52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171D71"/>
    <w:rsid w:val="0017367C"/>
    <w:rsid w:val="00212821"/>
    <w:rsid w:val="00240BAF"/>
    <w:rsid w:val="0026360D"/>
    <w:rsid w:val="002C09E0"/>
    <w:rsid w:val="002D2229"/>
    <w:rsid w:val="003A458B"/>
    <w:rsid w:val="003B3439"/>
    <w:rsid w:val="004A5CCA"/>
    <w:rsid w:val="005077CD"/>
    <w:rsid w:val="005B562C"/>
    <w:rsid w:val="005C1508"/>
    <w:rsid w:val="006055DE"/>
    <w:rsid w:val="00615CE3"/>
    <w:rsid w:val="006563A6"/>
    <w:rsid w:val="00673BCF"/>
    <w:rsid w:val="006D50C9"/>
    <w:rsid w:val="006F0018"/>
    <w:rsid w:val="006F2A0C"/>
    <w:rsid w:val="007170F3"/>
    <w:rsid w:val="007C5219"/>
    <w:rsid w:val="00827F38"/>
    <w:rsid w:val="00833B44"/>
    <w:rsid w:val="00953BAF"/>
    <w:rsid w:val="009C68A9"/>
    <w:rsid w:val="009F1EDD"/>
    <w:rsid w:val="00A05A93"/>
    <w:rsid w:val="00A621FD"/>
    <w:rsid w:val="00B64847"/>
    <w:rsid w:val="00BB27FA"/>
    <w:rsid w:val="00BC552F"/>
    <w:rsid w:val="00C63EBD"/>
    <w:rsid w:val="00CC5EF4"/>
    <w:rsid w:val="00CD7155"/>
    <w:rsid w:val="00CE673E"/>
    <w:rsid w:val="00CE6F27"/>
    <w:rsid w:val="00D10EBD"/>
    <w:rsid w:val="00D32203"/>
    <w:rsid w:val="00D76F02"/>
    <w:rsid w:val="00DC6E74"/>
    <w:rsid w:val="00DD1329"/>
    <w:rsid w:val="00DD1BA1"/>
    <w:rsid w:val="00DD3C03"/>
    <w:rsid w:val="00E33A3C"/>
    <w:rsid w:val="00E46C16"/>
    <w:rsid w:val="00E71CBF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eka-shop.com/ua/catalog/hdd/f/form_faktor-is-3-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zpeka-shop.com/ua/catalog/hdd/f/tip_zhestkogo_diska_1-is-hd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ezpeka-shop.com/ua/catalog/hdd/f/tip_zhestkogo_diska_1-is-h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zpeka-shop.com/ua/catalog/hdd/f/tip_zhestkogo_diska_1-is-hdd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2023-09-15T07:11:00Z</dcterms:created>
  <dcterms:modified xsi:type="dcterms:W3CDTF">2025-03-20T09:54:00Z</dcterms:modified>
</cp:coreProperties>
</file>