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7E" w:rsidRPr="00277B6F" w:rsidRDefault="0050397E" w:rsidP="0050397E">
      <w:pPr>
        <w:pStyle w:val="HTML"/>
        <w:shd w:val="clear" w:color="auto" w:fill="FFFFFF"/>
        <w:tabs>
          <w:tab w:val="clear" w:pos="2748"/>
          <w:tab w:val="left" w:pos="2127"/>
        </w:tabs>
        <w:jc w:val="center"/>
        <w:textAlignment w:val="baseline"/>
        <w:rPr>
          <w:rFonts w:ascii="Times New Roman" w:hAnsi="Times New Roman"/>
          <w:b/>
          <w:sz w:val="28"/>
          <w:szCs w:val="28"/>
          <w:lang w:val="uk-UA"/>
        </w:rPr>
      </w:pPr>
      <w:r w:rsidRPr="00277B6F">
        <w:rPr>
          <w:rFonts w:ascii="Times New Roman" w:hAnsi="Times New Roman"/>
          <w:b/>
          <w:sz w:val="28"/>
          <w:szCs w:val="28"/>
          <w:lang w:val="uk-UA"/>
        </w:rPr>
        <w:t>Управління житлово-комунально</w:t>
      </w:r>
      <w:r>
        <w:rPr>
          <w:rFonts w:ascii="Times New Roman" w:hAnsi="Times New Roman"/>
          <w:b/>
          <w:sz w:val="28"/>
          <w:szCs w:val="28"/>
          <w:lang w:val="uk-UA"/>
        </w:rPr>
        <w:t xml:space="preserve">го господарства та капітального </w:t>
      </w:r>
      <w:r w:rsidRPr="00277B6F">
        <w:rPr>
          <w:rFonts w:ascii="Times New Roman" w:hAnsi="Times New Roman"/>
          <w:b/>
          <w:sz w:val="28"/>
          <w:szCs w:val="28"/>
          <w:lang w:val="uk-UA"/>
        </w:rPr>
        <w:t>будівництва</w:t>
      </w:r>
      <w:r>
        <w:rPr>
          <w:rFonts w:ascii="Times New Roman" w:hAnsi="Times New Roman"/>
          <w:b/>
          <w:sz w:val="28"/>
          <w:szCs w:val="28"/>
          <w:lang w:val="uk-UA"/>
        </w:rPr>
        <w:t xml:space="preserve"> </w:t>
      </w:r>
      <w:r w:rsidRPr="00277B6F">
        <w:rPr>
          <w:rFonts w:ascii="Times New Roman" w:hAnsi="Times New Roman"/>
          <w:b/>
          <w:sz w:val="28"/>
          <w:szCs w:val="28"/>
          <w:lang w:val="uk-UA"/>
        </w:rPr>
        <w:t>Верхньодніпровської міської ради</w:t>
      </w:r>
    </w:p>
    <w:p w:rsidR="0050397E" w:rsidRDefault="0050397E" w:rsidP="0050397E">
      <w:pPr>
        <w:spacing w:before="28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rsidR="0050397E" w:rsidRPr="0050397E" w:rsidRDefault="0050397E" w:rsidP="0050397E">
      <w:pPr>
        <w:shd w:val="clear" w:color="auto" w:fill="FFFFFF"/>
        <w:spacing w:line="240" w:lineRule="auto"/>
        <w:jc w:val="center"/>
        <w:rPr>
          <w:rFonts w:ascii="Times New Roman" w:eastAsia="Times New Roman" w:hAnsi="Times New Roman" w:cs="Times New Roman"/>
          <w:b/>
          <w:sz w:val="20"/>
          <w:szCs w:val="20"/>
        </w:rPr>
      </w:pPr>
      <w:r w:rsidRPr="0050397E">
        <w:rPr>
          <w:rFonts w:ascii="Times New Roman" w:eastAsia="Times New Roman" w:hAnsi="Times New Roman" w:cs="Times New Roman"/>
          <w:b/>
          <w:sz w:val="20"/>
          <w:szCs w:val="20"/>
        </w:rPr>
        <w:t>Послуга з ремонту доріг місцевого значення (поточний ремонт вулично-дорожньої мережі на території Верхньодніпровської територіальної громади)</w:t>
      </w:r>
    </w:p>
    <w:p w:rsidR="00DB47E4" w:rsidRPr="0050397E" w:rsidRDefault="00DB47E4" w:rsidP="00DB7A2A">
      <w:pPr>
        <w:spacing w:after="0" w:line="240" w:lineRule="auto"/>
        <w:jc w:val="both"/>
        <w:rPr>
          <w:rFonts w:ascii="Times New Roman" w:eastAsia="Calibri" w:hAnsi="Times New Roman" w:cs="Times New Roman"/>
          <w:color w:val="00000A"/>
          <w:sz w:val="24"/>
          <w:szCs w:val="24"/>
        </w:rPr>
      </w:pPr>
      <w:r w:rsidRPr="0050397E">
        <w:rPr>
          <w:rFonts w:ascii="Times New Roman" w:hAnsi="Times New Roman" w:cs="Times New Roman"/>
          <w:b/>
          <w:i/>
          <w:sz w:val="24"/>
          <w:szCs w:val="24"/>
        </w:rPr>
        <w:t xml:space="preserve">Найменування:  </w:t>
      </w:r>
      <w:r w:rsidRPr="0050397E">
        <w:rPr>
          <w:rFonts w:ascii="Times New Roman" w:eastAsia="Calibri" w:hAnsi="Times New Roman" w:cs="Times New Roman"/>
          <w:color w:val="00000A"/>
          <w:sz w:val="24"/>
          <w:szCs w:val="24"/>
        </w:rPr>
        <w:t>Управління житлово-комунального господарства та капітального будівництва Верхньодніпровської міської ради</w:t>
      </w:r>
    </w:p>
    <w:p w:rsidR="00DB47E4" w:rsidRPr="0050397E" w:rsidRDefault="00DB47E4" w:rsidP="00DB7A2A">
      <w:pPr>
        <w:spacing w:after="0" w:line="240" w:lineRule="auto"/>
        <w:jc w:val="both"/>
        <w:rPr>
          <w:rFonts w:ascii="Times New Roman" w:hAnsi="Times New Roman" w:cs="Times New Roman"/>
          <w:sz w:val="24"/>
          <w:szCs w:val="24"/>
          <w:lang w:val="ru-RU"/>
        </w:rPr>
      </w:pPr>
      <w:r w:rsidRPr="0050397E">
        <w:rPr>
          <w:rFonts w:ascii="Times New Roman" w:eastAsia="Times New Roman" w:hAnsi="Times New Roman" w:cs="Times New Roman"/>
          <w:b/>
          <w:i/>
          <w:sz w:val="24"/>
          <w:szCs w:val="24"/>
        </w:rPr>
        <w:t xml:space="preserve">Місцезнаходження та ідентифікаційний код замовника ЄДРПОУ: </w:t>
      </w:r>
      <w:r w:rsidRPr="0050397E">
        <w:rPr>
          <w:rFonts w:ascii="Times New Roman" w:hAnsi="Times New Roman" w:cs="Times New Roman"/>
          <w:sz w:val="24"/>
          <w:szCs w:val="24"/>
        </w:rPr>
        <w:t xml:space="preserve">51600,Україна, м. Верхньодніпровськ, вул. пр.. Шевченка, 21, ЄДРПОУ 43957230. </w:t>
      </w:r>
    </w:p>
    <w:p w:rsidR="00DB47E4" w:rsidRPr="0050397E" w:rsidRDefault="00DB47E4" w:rsidP="00DB7A2A">
      <w:pPr>
        <w:spacing w:after="0" w:line="240" w:lineRule="auto"/>
        <w:jc w:val="both"/>
        <w:rPr>
          <w:rFonts w:ascii="Times New Roman" w:hAnsi="Times New Roman" w:cs="Times New Roman"/>
          <w:color w:val="00000A"/>
          <w:sz w:val="24"/>
          <w:szCs w:val="24"/>
          <w:lang w:val="ru-RU"/>
        </w:rPr>
      </w:pPr>
      <w:r w:rsidRPr="0050397E">
        <w:rPr>
          <w:rFonts w:ascii="Times New Roman" w:eastAsia="Times New Roman" w:hAnsi="Times New Roman" w:cs="Times New Roman"/>
          <w:b/>
          <w:i/>
          <w:sz w:val="24"/>
          <w:szCs w:val="24"/>
        </w:rPr>
        <w:t xml:space="preserve">Категорія: </w:t>
      </w:r>
      <w:r w:rsidRPr="0050397E">
        <w:rPr>
          <w:rFonts w:ascii="Times New Roman" w:hAnsi="Times New Roman" w:cs="Times New Roman"/>
          <w:color w:val="00000A"/>
          <w:sz w:val="24"/>
          <w:szCs w:val="24"/>
        </w:rPr>
        <w:t>Юридична особа, яка забезпечує потреби держави або територіальної громади.</w:t>
      </w:r>
    </w:p>
    <w:p w:rsidR="0044294E" w:rsidRPr="0050397E" w:rsidRDefault="00DB47E4" w:rsidP="0044294E">
      <w:pPr>
        <w:shd w:val="clear" w:color="auto" w:fill="FFFFFF"/>
        <w:spacing w:after="0" w:line="240" w:lineRule="auto"/>
        <w:jc w:val="both"/>
        <w:rPr>
          <w:rFonts w:ascii="Times New Roman" w:eastAsia="Calibri" w:hAnsi="Times New Roman" w:cs="Times New Roman"/>
          <w:color w:val="00000A"/>
          <w:sz w:val="24"/>
          <w:szCs w:val="24"/>
        </w:rPr>
      </w:pPr>
      <w:r w:rsidRPr="0050397E">
        <w:rPr>
          <w:rFonts w:ascii="Times New Roman" w:eastAsia="Times New Roman" w:hAnsi="Times New Roman" w:cs="Times New Roman"/>
          <w:b/>
          <w:i/>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CE501D" w:rsidRPr="0050397E">
        <w:rPr>
          <w:rFonts w:ascii="Times New Roman" w:eastAsia="Calibri" w:hAnsi="Times New Roman" w:cs="Times New Roman"/>
          <w:color w:val="00000A"/>
          <w:sz w:val="24"/>
          <w:szCs w:val="24"/>
        </w:rPr>
        <w:t>Послуга з ремонту доріг місцевого значення (поточний ремонт вулично-дорожньої мережі на території Верхньодніпровської територіальної громади) код згідно класифікатора «50230000-6 – Послуги з ремонту, технічного обслуговування дорожньої інфраструктури і пов'язаного обладнання та супутні послуги»</w:t>
      </w:r>
      <w:r w:rsidR="0044294E">
        <w:rPr>
          <w:rFonts w:ascii="Times New Roman" w:eastAsia="Calibri" w:hAnsi="Times New Roman" w:cs="Times New Roman"/>
          <w:color w:val="00000A"/>
          <w:sz w:val="24"/>
          <w:szCs w:val="24"/>
        </w:rPr>
        <w:t xml:space="preserve"> </w:t>
      </w:r>
      <w:r w:rsidR="0044294E">
        <w:rPr>
          <w:rFonts w:ascii="Times New Roman" w:eastAsia="Calibri" w:hAnsi="Times New Roman" w:cs="Times New Roman"/>
          <w:color w:val="00000A"/>
          <w:sz w:val="24"/>
          <w:szCs w:val="24"/>
        </w:rPr>
        <w:t>(надалі -</w:t>
      </w:r>
      <w:r w:rsidR="0044294E" w:rsidRPr="00384E2B">
        <w:rPr>
          <w:rFonts w:ascii="Times New Roman" w:eastAsia="Times New Roman" w:hAnsi="Times New Roman" w:cs="Times New Roman"/>
          <w:b/>
          <w:i/>
          <w:sz w:val="24"/>
          <w:szCs w:val="24"/>
        </w:rPr>
        <w:t xml:space="preserve"> закупівля</w:t>
      </w:r>
      <w:r w:rsidR="0044294E">
        <w:rPr>
          <w:rFonts w:ascii="Times New Roman" w:eastAsia="Calibri" w:hAnsi="Times New Roman" w:cs="Times New Roman"/>
          <w:color w:val="00000A"/>
          <w:sz w:val="24"/>
          <w:szCs w:val="24"/>
        </w:rPr>
        <w:t>)</w:t>
      </w:r>
    </w:p>
    <w:p w:rsidR="00FC69FB" w:rsidRDefault="00FC69FB" w:rsidP="00FC69FB">
      <w:pPr>
        <w:pStyle w:val="a4"/>
        <w:jc w:val="both"/>
        <w:rPr>
          <w:rFonts w:ascii="Times New Roman" w:eastAsia="Times New Roman" w:hAnsi="Times New Roman" w:cs="Times New Roman"/>
          <w:b/>
          <w:i/>
          <w:sz w:val="24"/>
          <w:szCs w:val="24"/>
        </w:rPr>
      </w:pPr>
      <w:r w:rsidRPr="0050397E">
        <w:rPr>
          <w:rFonts w:ascii="Times New Roman" w:eastAsia="Times New Roman" w:hAnsi="Times New Roman" w:cs="Times New Roman"/>
          <w:b/>
          <w:i/>
          <w:sz w:val="24"/>
          <w:szCs w:val="24"/>
        </w:rPr>
        <w:t>Вид та ідентифікатор процедури закупівлі:</w:t>
      </w:r>
      <w:r w:rsidRPr="0050397E">
        <w:rPr>
          <w:rFonts w:ascii="Times New Roman" w:eastAsia="Times New Roman" w:hAnsi="Times New Roman" w:cs="Times New Roman"/>
          <w:sz w:val="24"/>
          <w:szCs w:val="24"/>
        </w:rPr>
        <w:t xml:space="preserve"> </w:t>
      </w:r>
      <w:r w:rsidRPr="0050397E">
        <w:rPr>
          <w:rFonts w:ascii="Times New Roman" w:hAnsi="Times New Roman" w:cs="Times New Roman"/>
          <w:color w:val="00000A"/>
          <w:sz w:val="24"/>
          <w:szCs w:val="24"/>
        </w:rPr>
        <w:t xml:space="preserve">відкриті торги з особливостями </w:t>
      </w:r>
      <w:r w:rsidRPr="00447207">
        <w:rPr>
          <w:rFonts w:ascii="Times New Roman" w:eastAsia="Times New Roman" w:hAnsi="Times New Roman" w:cs="Times New Roman"/>
          <w:b/>
          <w:i/>
          <w:sz w:val="24"/>
          <w:szCs w:val="24"/>
        </w:rPr>
        <w:t>UA-2024-04-17-010854-a</w:t>
      </w:r>
    </w:p>
    <w:p w:rsidR="00FC69FB" w:rsidRPr="0050397E" w:rsidRDefault="00FC69FB" w:rsidP="00FC69FB">
      <w:pPr>
        <w:pStyle w:val="a4"/>
        <w:jc w:val="both"/>
        <w:rPr>
          <w:rFonts w:ascii="Times New Roman" w:eastAsia="Times New Roman" w:hAnsi="Times New Roman" w:cs="Times New Roman"/>
          <w:sz w:val="24"/>
          <w:szCs w:val="24"/>
        </w:rPr>
      </w:pPr>
      <w:r w:rsidRPr="0050397E">
        <w:rPr>
          <w:rFonts w:ascii="Times New Roman" w:eastAsia="Times New Roman" w:hAnsi="Times New Roman" w:cs="Times New Roman"/>
          <w:b/>
          <w:i/>
          <w:sz w:val="24"/>
          <w:szCs w:val="24"/>
        </w:rPr>
        <w:t>Очікувана вартість та обґрунтування очікуваної вартості предмета закупівлі:</w:t>
      </w:r>
      <w:r w:rsidRPr="0050397E">
        <w:rPr>
          <w:rFonts w:ascii="Times New Roman" w:eastAsia="Times New Roman" w:hAnsi="Times New Roman" w:cs="Times New Roman"/>
          <w:b/>
          <w:sz w:val="24"/>
          <w:szCs w:val="24"/>
        </w:rPr>
        <w:t xml:space="preserve"> </w:t>
      </w:r>
      <w:r w:rsidRPr="00447207">
        <w:rPr>
          <w:rFonts w:ascii="Times New Roman" w:eastAsia="Times New Roman" w:hAnsi="Times New Roman" w:cs="Times New Roman"/>
          <w:sz w:val="24"/>
          <w:szCs w:val="24"/>
        </w:rPr>
        <w:t>1 00</w:t>
      </w:r>
      <w:r w:rsidRPr="0050397E">
        <w:rPr>
          <w:rFonts w:ascii="Times New Roman" w:eastAsia="Times New Roman" w:hAnsi="Times New Roman" w:cs="Times New Roman"/>
          <w:sz w:val="24"/>
          <w:szCs w:val="24"/>
        </w:rPr>
        <w:t>0 000,00 грн. Визначення очікуваної вартості предмета закупівлі обумовлено статистичним аналізом</w:t>
      </w:r>
      <w:r w:rsidRPr="0050397E">
        <w:rPr>
          <w:sz w:val="24"/>
          <w:szCs w:val="24"/>
        </w:rPr>
        <w:t xml:space="preserve"> </w:t>
      </w:r>
      <w:r w:rsidRPr="0050397E">
        <w:rPr>
          <w:rFonts w:ascii="Times New Roman" w:eastAsia="Times New Roman"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rsidR="00FC69FB" w:rsidRPr="0050397E" w:rsidRDefault="00FC69FB" w:rsidP="00FC69FB">
      <w:pPr>
        <w:spacing w:after="0" w:line="240" w:lineRule="auto"/>
        <w:jc w:val="both"/>
        <w:rPr>
          <w:rFonts w:ascii="Times New Roman" w:eastAsia="Times New Roman" w:hAnsi="Times New Roman" w:cs="Times New Roman"/>
          <w:sz w:val="24"/>
          <w:szCs w:val="24"/>
        </w:rPr>
      </w:pPr>
      <w:r w:rsidRPr="008A2510">
        <w:rPr>
          <w:rFonts w:ascii="Times New Roman" w:eastAsia="Times New Roman" w:hAnsi="Times New Roman" w:cs="Times New Roman"/>
          <w:b/>
          <w:i/>
          <w:sz w:val="24"/>
          <w:szCs w:val="24"/>
        </w:rPr>
        <w:t>Бюджетне  призначення:</w:t>
      </w:r>
      <w:r w:rsidRPr="008A2510">
        <w:rPr>
          <w:rFonts w:ascii="Times New Roman" w:eastAsia="Times New Roman" w:hAnsi="Times New Roman" w:cs="Times New Roman"/>
          <w:i/>
          <w:sz w:val="24"/>
          <w:szCs w:val="24"/>
        </w:rPr>
        <w:t xml:space="preserve"> </w:t>
      </w:r>
      <w:r w:rsidRPr="008A2510">
        <w:rPr>
          <w:rFonts w:ascii="Times New Roman" w:eastAsia="Calibri" w:hAnsi="Times New Roman" w:cs="Times New Roman"/>
          <w:color w:val="00000A"/>
          <w:sz w:val="24"/>
          <w:szCs w:val="24"/>
        </w:rPr>
        <w:t xml:space="preserve">Згідно рішення сесії Верхньодніпровської міської ради  №1414-29/ІХ від 09.11.2023 року «Про бюджет Верхньодніпровської міської ради на 2024 рік». </w:t>
      </w:r>
      <w:r w:rsidRPr="0050397E">
        <w:rPr>
          <w:rFonts w:ascii="Times New Roman" w:eastAsia="Times New Roman" w:hAnsi="Times New Roman" w:cs="Times New Roman"/>
          <w:sz w:val="24"/>
          <w:szCs w:val="24"/>
        </w:rPr>
        <w:t xml:space="preserve">Термін постачання — з дати укладання договору по 20.12.2024 р., </w:t>
      </w:r>
      <w:r w:rsidRPr="0050397E">
        <w:rPr>
          <w:rFonts w:ascii="Times New Roman" w:hAnsi="Times New Roman" w:cs="Times New Roman"/>
          <w:sz w:val="24"/>
          <w:szCs w:val="24"/>
        </w:rPr>
        <w:t>здійснюються у розмірі 100% вартості Товару протягом 30 (тридцяти) календарних днів з дати повного підписання Акту, за наявності відповідного бюджетного призначення.</w:t>
      </w:r>
      <w:r w:rsidRPr="0050397E">
        <w:rPr>
          <w:rFonts w:ascii="Times New Roman" w:eastAsia="Times New Roman" w:hAnsi="Times New Roman" w:cs="Times New Roman"/>
          <w:sz w:val="24"/>
          <w:szCs w:val="24"/>
        </w:rPr>
        <w:t xml:space="preserve"> </w:t>
      </w:r>
    </w:p>
    <w:p w:rsidR="00FC69FB" w:rsidRPr="0050397E" w:rsidRDefault="00FC69FB" w:rsidP="00FC69FB">
      <w:pPr>
        <w:pStyle w:val="a4"/>
        <w:jc w:val="both"/>
        <w:rPr>
          <w:rFonts w:ascii="Times New Roman" w:eastAsia="Times New Roman" w:hAnsi="Times New Roman" w:cs="Times New Roman"/>
          <w:sz w:val="24"/>
          <w:szCs w:val="24"/>
        </w:rPr>
      </w:pPr>
      <w:r w:rsidRPr="0050397E">
        <w:rPr>
          <w:rFonts w:ascii="Times New Roman" w:eastAsia="Times New Roman" w:hAnsi="Times New Roman" w:cs="Times New Roman"/>
          <w:b/>
          <w:i/>
          <w:sz w:val="24"/>
          <w:szCs w:val="24"/>
        </w:rPr>
        <w:t>Обґрунтування технічних та якісних характеристик предмета закупівлі</w:t>
      </w:r>
      <w:r w:rsidRPr="0050397E">
        <w:rPr>
          <w:rFonts w:ascii="Times New Roman" w:eastAsia="Times New Roman" w:hAnsi="Times New Roman" w:cs="Times New Roman"/>
          <w:sz w:val="24"/>
          <w:szCs w:val="24"/>
        </w:rPr>
        <w:t xml:space="preserve"> </w:t>
      </w:r>
    </w:p>
    <w:p w:rsidR="00FC69FB" w:rsidRPr="008A2510" w:rsidRDefault="00FC69FB" w:rsidP="00FC69FB">
      <w:pPr>
        <w:spacing w:after="0" w:line="240" w:lineRule="auto"/>
        <w:jc w:val="both"/>
        <w:rPr>
          <w:rFonts w:ascii="Times New Roman" w:eastAsia="Times New Roman" w:hAnsi="Times New Roman" w:cs="Times New Roman"/>
          <w:sz w:val="24"/>
          <w:szCs w:val="24"/>
        </w:rPr>
      </w:pPr>
      <w:r w:rsidRPr="008A2510">
        <w:rPr>
          <w:rFonts w:ascii="Times New Roman" w:eastAsia="Times New Roman" w:hAnsi="Times New Roman" w:cs="Times New Roman"/>
          <w:sz w:val="24"/>
          <w:szCs w:val="24"/>
        </w:rPr>
        <w:t>Необхідність в проведенні поточного ремонту виникла у зв’язку з незадовільним станом доріг на території Верхньодніпровської територіальної громади та</w:t>
      </w:r>
      <w:r w:rsidR="0044294E">
        <w:rPr>
          <w:rFonts w:ascii="Times New Roman" w:eastAsia="Times New Roman" w:hAnsi="Times New Roman" w:cs="Times New Roman"/>
          <w:sz w:val="24"/>
          <w:szCs w:val="24"/>
        </w:rPr>
        <w:t xml:space="preserve"> на підставі</w:t>
      </w:r>
      <w:r w:rsidRPr="008A2510">
        <w:rPr>
          <w:rFonts w:ascii="Times New Roman" w:eastAsia="Times New Roman" w:hAnsi="Times New Roman" w:cs="Times New Roman"/>
          <w:sz w:val="24"/>
          <w:szCs w:val="24"/>
        </w:rPr>
        <w:t xml:space="preserve"> складеного Дефектного акту на послуги з ремонту доріг місцевого значення (поточний ремонт вулично-дорожньої мережі на території Верхньодніпровської територіальної громади) від 12.04.2024 року комісією з обстеження затвердженої наказом Управління житлово-комунального господарства та капітального будівництва №3 від 12.01.2024 року «Про створення комісії з обстеження та складання дефектного акту по об’єкту: «Послуга з ремонту доріг місцевого значення (поточний ремонт вулично-дорожньої мережі на території Верхньодніпровської територіальної громади)», фінансування передбачено згідно рішення сесії Верхньодніпровської міської ради  №1414-29/ІХ від 09.11.2023 року «Про бюджет Верхньодніпровської міської ради на 2024 рік» та </w:t>
      </w:r>
      <w:r w:rsidRPr="0044294E">
        <w:rPr>
          <w:rFonts w:ascii="Times New Roman" w:eastAsia="Times New Roman" w:hAnsi="Times New Roman" w:cs="Times New Roman"/>
          <w:b/>
          <w:i/>
          <w:sz w:val="24"/>
          <w:szCs w:val="24"/>
        </w:rPr>
        <w:t>закупівля</w:t>
      </w:r>
      <w:r w:rsidRPr="008A2510">
        <w:rPr>
          <w:rFonts w:ascii="Times New Roman" w:eastAsia="Times New Roman" w:hAnsi="Times New Roman" w:cs="Times New Roman"/>
          <w:sz w:val="24"/>
          <w:szCs w:val="24"/>
        </w:rPr>
        <w:t xml:space="preserve"> оголошена на підставі  наказу Управління житлово-комунального господарства та капітального будівництва №14 від 15.04.2024 року ««Про організацію процедур закупівель/спрощених закупівель в квітні 2024 року через електронну систему закупівель в Управлінні житлово - комунального господарства та капітального будівництва Верхньодніпровської міської ради». </w:t>
      </w:r>
    </w:p>
    <w:p w:rsidR="00FC69FB" w:rsidRDefault="00FC69FB" w:rsidP="00FC69FB">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Технічна специфікація (технічне завдання) до предмета закупівлі</w:t>
      </w:r>
      <w:r>
        <w:rPr>
          <w:rFonts w:ascii="Times New Roman" w:eastAsia="Times New Roman" w:hAnsi="Times New Roman" w:cs="Times New Roman"/>
          <w:sz w:val="24"/>
          <w:szCs w:val="24"/>
        </w:rPr>
        <w:t>:</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7185"/>
        <w:gridCol w:w="709"/>
        <w:gridCol w:w="948"/>
      </w:tblGrid>
      <w:tr w:rsidR="00FC69FB" w:rsidRPr="00FC69FB" w:rsidTr="00FC69FB">
        <w:trPr>
          <w:trHeight w:val="407"/>
          <w:jc w:val="center"/>
        </w:trPr>
        <w:tc>
          <w:tcPr>
            <w:tcW w:w="426"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w:t>
            </w:r>
          </w:p>
          <w:p w:rsidR="00FC69FB" w:rsidRPr="00FC69FB" w:rsidRDefault="00FC69FB" w:rsidP="00FC69FB">
            <w:pPr>
              <w:spacing w:after="0" w:line="240" w:lineRule="auto"/>
              <w:jc w:val="center"/>
              <w:rPr>
                <w:rFonts w:ascii="Times New Roman" w:eastAsia="Times New Roman" w:hAnsi="Times New Roman" w:cs="Times New Roman"/>
                <w:sz w:val="20"/>
                <w:szCs w:val="20"/>
              </w:rPr>
            </w:pPr>
          </w:p>
        </w:tc>
        <w:tc>
          <w:tcPr>
            <w:tcW w:w="7185"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 xml:space="preserve">Найменування робіт та </w:t>
            </w:r>
            <w:proofErr w:type="spellStart"/>
            <w:r w:rsidRPr="00FC69FB">
              <w:rPr>
                <w:rFonts w:ascii="Times New Roman" w:eastAsia="Times New Roman" w:hAnsi="Times New Roman" w:cs="Times New Roman"/>
                <w:sz w:val="20"/>
                <w:szCs w:val="20"/>
              </w:rPr>
              <w:t>мереріали</w:t>
            </w:r>
            <w:proofErr w:type="spellEnd"/>
          </w:p>
        </w:tc>
        <w:tc>
          <w:tcPr>
            <w:tcW w:w="709"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Од.</w:t>
            </w:r>
          </w:p>
        </w:tc>
        <w:tc>
          <w:tcPr>
            <w:tcW w:w="948"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proofErr w:type="spellStart"/>
            <w:r w:rsidRPr="00FC69FB">
              <w:rPr>
                <w:rFonts w:ascii="Times New Roman" w:eastAsia="Times New Roman" w:hAnsi="Times New Roman" w:cs="Times New Roman"/>
                <w:sz w:val="20"/>
                <w:szCs w:val="20"/>
              </w:rPr>
              <w:t>Кіль-кість</w:t>
            </w:r>
            <w:proofErr w:type="spellEnd"/>
          </w:p>
        </w:tc>
      </w:tr>
      <w:tr w:rsidR="00FC69FB" w:rsidRPr="00FC69FB" w:rsidTr="00FC69FB">
        <w:trPr>
          <w:trHeight w:val="235"/>
          <w:jc w:val="center"/>
        </w:trPr>
        <w:tc>
          <w:tcPr>
            <w:tcW w:w="426"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1</w:t>
            </w:r>
          </w:p>
        </w:tc>
        <w:tc>
          <w:tcPr>
            <w:tcW w:w="7185" w:type="dxa"/>
            <w:vAlign w:val="center"/>
          </w:tcPr>
          <w:p w:rsidR="00FC69FB" w:rsidRPr="00FC69FB" w:rsidRDefault="00FC69FB" w:rsidP="00FC69FB">
            <w:pPr>
              <w:spacing w:after="0" w:line="240" w:lineRule="auto"/>
              <w:ind w:left="106" w:right="177"/>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Холодне фрезерування асфальтобетонного покриття фрезою шириною 1,5 м. при глибині фрезерування 5 см.</w:t>
            </w:r>
          </w:p>
        </w:tc>
        <w:tc>
          <w:tcPr>
            <w:tcW w:w="709"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м2</w:t>
            </w:r>
          </w:p>
        </w:tc>
        <w:tc>
          <w:tcPr>
            <w:tcW w:w="948"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600</w:t>
            </w:r>
          </w:p>
        </w:tc>
      </w:tr>
      <w:tr w:rsidR="00FC69FB" w:rsidRPr="00FC69FB" w:rsidTr="00FC69FB">
        <w:trPr>
          <w:trHeight w:val="456"/>
          <w:jc w:val="center"/>
        </w:trPr>
        <w:tc>
          <w:tcPr>
            <w:tcW w:w="426"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2</w:t>
            </w:r>
          </w:p>
        </w:tc>
        <w:tc>
          <w:tcPr>
            <w:tcW w:w="7185" w:type="dxa"/>
            <w:vAlign w:val="center"/>
          </w:tcPr>
          <w:p w:rsidR="00FC69FB" w:rsidRPr="00FC69FB" w:rsidRDefault="00FC69FB" w:rsidP="00FC69FB">
            <w:pPr>
              <w:spacing w:after="0" w:line="240" w:lineRule="auto"/>
              <w:ind w:left="106" w:right="177"/>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Перевезення сміття (крихти) до 10 км. після фрезерування</w:t>
            </w:r>
          </w:p>
        </w:tc>
        <w:tc>
          <w:tcPr>
            <w:tcW w:w="709"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т</w:t>
            </w:r>
          </w:p>
        </w:tc>
        <w:tc>
          <w:tcPr>
            <w:tcW w:w="948"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54</w:t>
            </w:r>
          </w:p>
        </w:tc>
      </w:tr>
      <w:tr w:rsidR="00FC69FB" w:rsidRPr="00FC69FB" w:rsidTr="00FC69FB">
        <w:trPr>
          <w:trHeight w:val="235"/>
          <w:jc w:val="center"/>
        </w:trPr>
        <w:tc>
          <w:tcPr>
            <w:tcW w:w="426"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3</w:t>
            </w:r>
          </w:p>
        </w:tc>
        <w:tc>
          <w:tcPr>
            <w:tcW w:w="7185" w:type="dxa"/>
            <w:vAlign w:val="center"/>
          </w:tcPr>
          <w:p w:rsidR="00FC69FB" w:rsidRPr="00FC69FB" w:rsidRDefault="00FC69FB" w:rsidP="00FC69FB">
            <w:pPr>
              <w:spacing w:after="0" w:line="240" w:lineRule="auto"/>
              <w:ind w:left="106" w:right="177"/>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 xml:space="preserve">Улаштування </w:t>
            </w:r>
            <w:proofErr w:type="spellStart"/>
            <w:r w:rsidRPr="00FC69FB">
              <w:rPr>
                <w:rFonts w:ascii="Times New Roman" w:eastAsia="Times New Roman" w:hAnsi="Times New Roman" w:cs="Times New Roman"/>
                <w:sz w:val="20"/>
                <w:szCs w:val="20"/>
              </w:rPr>
              <w:t>вирівнювального</w:t>
            </w:r>
            <w:proofErr w:type="spellEnd"/>
            <w:r w:rsidRPr="00FC69FB">
              <w:rPr>
                <w:rFonts w:ascii="Times New Roman" w:eastAsia="Times New Roman" w:hAnsi="Times New Roman" w:cs="Times New Roman"/>
                <w:sz w:val="20"/>
                <w:szCs w:val="20"/>
              </w:rPr>
              <w:t xml:space="preserve"> шару з асфальтобетонної суміші із застосуванням укладальників асфальтобетону</w:t>
            </w:r>
          </w:p>
        </w:tc>
        <w:tc>
          <w:tcPr>
            <w:tcW w:w="709"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т</w:t>
            </w:r>
          </w:p>
        </w:tc>
        <w:tc>
          <w:tcPr>
            <w:tcW w:w="948"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14,83</w:t>
            </w:r>
          </w:p>
        </w:tc>
      </w:tr>
      <w:tr w:rsidR="00FC69FB" w:rsidRPr="00FC69FB" w:rsidTr="00FC69FB">
        <w:trPr>
          <w:trHeight w:val="324"/>
          <w:jc w:val="center"/>
        </w:trPr>
        <w:tc>
          <w:tcPr>
            <w:tcW w:w="426"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4</w:t>
            </w:r>
          </w:p>
        </w:tc>
        <w:tc>
          <w:tcPr>
            <w:tcW w:w="7185" w:type="dxa"/>
            <w:vAlign w:val="center"/>
          </w:tcPr>
          <w:p w:rsidR="00FC69FB" w:rsidRPr="00FC69FB" w:rsidRDefault="00FC69FB" w:rsidP="00FC69FB">
            <w:pPr>
              <w:spacing w:after="0" w:line="240" w:lineRule="auto"/>
              <w:ind w:left="106" w:right="177"/>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Розливання в’яжучих матеріалів</w:t>
            </w:r>
          </w:p>
        </w:tc>
        <w:tc>
          <w:tcPr>
            <w:tcW w:w="709"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т</w:t>
            </w:r>
          </w:p>
        </w:tc>
        <w:tc>
          <w:tcPr>
            <w:tcW w:w="948"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0,2666</w:t>
            </w:r>
          </w:p>
        </w:tc>
      </w:tr>
      <w:tr w:rsidR="00FC69FB" w:rsidRPr="00FC69FB" w:rsidTr="00FC69FB">
        <w:trPr>
          <w:trHeight w:val="235"/>
          <w:jc w:val="center"/>
        </w:trPr>
        <w:tc>
          <w:tcPr>
            <w:tcW w:w="426"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lastRenderedPageBreak/>
              <w:t>5</w:t>
            </w:r>
          </w:p>
        </w:tc>
        <w:tc>
          <w:tcPr>
            <w:tcW w:w="7185" w:type="dxa"/>
            <w:vAlign w:val="center"/>
          </w:tcPr>
          <w:p w:rsidR="00FC69FB" w:rsidRPr="00FC69FB" w:rsidRDefault="00FC69FB" w:rsidP="00FC69FB">
            <w:pPr>
              <w:spacing w:after="0" w:line="240" w:lineRule="auto"/>
              <w:ind w:left="106" w:right="177"/>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Улаштування покриттів товщиною 4 см. із гарячих асфальтобетонних сумішей</w:t>
            </w:r>
          </w:p>
        </w:tc>
        <w:tc>
          <w:tcPr>
            <w:tcW w:w="709"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м2</w:t>
            </w:r>
          </w:p>
        </w:tc>
        <w:tc>
          <w:tcPr>
            <w:tcW w:w="948"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666,5</w:t>
            </w:r>
          </w:p>
        </w:tc>
      </w:tr>
      <w:tr w:rsidR="00FC69FB" w:rsidRPr="00FC69FB" w:rsidTr="00FC69FB">
        <w:trPr>
          <w:trHeight w:val="235"/>
          <w:jc w:val="center"/>
        </w:trPr>
        <w:tc>
          <w:tcPr>
            <w:tcW w:w="426"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6</w:t>
            </w:r>
          </w:p>
        </w:tc>
        <w:tc>
          <w:tcPr>
            <w:tcW w:w="7185" w:type="dxa"/>
            <w:vAlign w:val="center"/>
          </w:tcPr>
          <w:p w:rsidR="00FC69FB" w:rsidRPr="00FC69FB" w:rsidRDefault="00FC69FB" w:rsidP="00FC69FB">
            <w:pPr>
              <w:spacing w:after="0" w:line="240" w:lineRule="auto"/>
              <w:ind w:left="106" w:right="177"/>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На кожні 0,5 см. зміни товщини шару додавати або виключати до норми (до 5 см.)</w:t>
            </w:r>
          </w:p>
        </w:tc>
        <w:tc>
          <w:tcPr>
            <w:tcW w:w="709"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м2</w:t>
            </w:r>
          </w:p>
        </w:tc>
        <w:tc>
          <w:tcPr>
            <w:tcW w:w="948" w:type="dxa"/>
            <w:vAlign w:val="center"/>
          </w:tcPr>
          <w:p w:rsidR="00FC69FB" w:rsidRPr="00FC69FB" w:rsidRDefault="00FC69FB" w:rsidP="00FC69FB">
            <w:pPr>
              <w:spacing w:after="0" w:line="240" w:lineRule="auto"/>
              <w:jc w:val="center"/>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666,5</w:t>
            </w:r>
          </w:p>
        </w:tc>
      </w:tr>
      <w:tr w:rsidR="00FC69FB" w:rsidRPr="00FC69FB" w:rsidTr="00FC69FB">
        <w:trPr>
          <w:trHeight w:val="509"/>
          <w:jc w:val="center"/>
        </w:trPr>
        <w:tc>
          <w:tcPr>
            <w:tcW w:w="9268" w:type="dxa"/>
            <w:gridSpan w:val="4"/>
            <w:vAlign w:val="center"/>
          </w:tcPr>
          <w:p w:rsidR="00FC69FB" w:rsidRPr="00FC69FB" w:rsidRDefault="00FC69FB" w:rsidP="00FC69FB">
            <w:pPr>
              <w:tabs>
                <w:tab w:val="left" w:pos="1418"/>
              </w:tabs>
              <w:suppressAutoHyphens/>
              <w:autoSpaceDE w:val="0"/>
              <w:spacing w:after="0" w:line="240" w:lineRule="auto"/>
              <w:ind w:right="142"/>
              <w:rPr>
                <w:rFonts w:ascii="Times New Roman" w:eastAsia="Times New Roman" w:hAnsi="Times New Roman" w:cs="Times New Roman"/>
                <w:sz w:val="20"/>
                <w:szCs w:val="20"/>
              </w:rPr>
            </w:pPr>
            <w:r w:rsidRPr="00FC69FB">
              <w:rPr>
                <w:rFonts w:ascii="Times New Roman" w:eastAsia="Times New Roman" w:hAnsi="Times New Roman" w:cs="Times New Roman"/>
                <w:sz w:val="20"/>
                <w:szCs w:val="20"/>
              </w:rPr>
              <w:t>Дотримуючись умови що виконання робіт на одній половині проїжджої частини доріг, з рухом транспорту по другій половині.</w:t>
            </w:r>
          </w:p>
        </w:tc>
      </w:tr>
    </w:tbl>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Учасник у своїй пропозиції повинен підтвердити, що пропоновані ними послуги за своїми екологічними чи іншими характеристиками відповідають вимогам, установленим у тендерній документації. Таке підтвердження здійснюється шляхом:</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поданням у складі пропозиції документів маркування, протоколів випробувань, декларації та/або сертифікатів, що підтверджують відповідність предмета закупівлі характеристикам встановленим замовником (у разі обов’язкового отримання даних документів для поставки товару, надання послуг, виконання робіт за даним предметом закупівлі відповідно до норм чинного законодавства). Маркування, протоколи випробувань, декларації та сертифікати повинні бути видані органами з оцінки відповідності, компетентність яких підтверджена шляхом акредитації або іншим способом, визначеним законодавством.</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xml:space="preserve">-  якщо обов’язкового отримання документів, що передбачені раніш зазначеним підпунктом (маркування, протоколи випробувань, декларації та сертифікати), для надання послуг за даним предметом закупівлі, не передбачено чинним законодавствам, то учасник надає лист в довільній формі в якому про це зазначає та в довільній формі підтверджує, що пропоновані ними послуги за своїми екологічними чи іншими характеристиками відповідають вимогам чинного законодавства.   Будь-які посилання на конкретні торговельну марку чи фірму, патент, конструкцію або тип предмета закупівлі, джерело його походження або виробника у цій документації слід читати з виразом «або еквівалент». </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xml:space="preserve">Тендерна пропозиція Учасника має містити гарантійний лист щодо надання послуг з дотриманням державних стандартів і правил, нормативних, технічних та інших вимог. </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Послуги, які становлять предмет закупівлі, мають надаватися якісно та відповідати встановленим чинним законодавством України нормам, характеристикам, правилам тощо. Для підтвердження якості учасник має надати довідку про те, що якість послуг, які будуть надаватися/виконуватися буде відповідати нормам чинного законодавства, а також гарантувати Замовнику, що у разі необхідності буде здійснювати надання послуг у вихідні, святкові дні та нічний час.</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xml:space="preserve"> Для підтвердження застосування заходів із захисту довкілля під час надання послуг/виконання робіт та після їх завершення, учасник має надати довідку про застосування заходів із захисту довкілля з описом даних заходів. </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xml:space="preserve">Для підтвердження можливості надання послуг згідно із технічною специфікацією (технічним завданням) до предмета закупівлі: </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учасник подає інформацію та підтверджуючий документ про наявність власного (орендованого) асфальтобетонного(</w:t>
      </w:r>
      <w:proofErr w:type="spellStart"/>
      <w:r w:rsidRPr="00FC69FB">
        <w:rPr>
          <w:rFonts w:ascii="Times New Roman" w:eastAsia="Times New Roman" w:hAnsi="Times New Roman" w:cs="Times New Roman"/>
          <w:sz w:val="24"/>
          <w:szCs w:val="24"/>
        </w:rPr>
        <w:t>их</w:t>
      </w:r>
      <w:proofErr w:type="spellEnd"/>
      <w:r w:rsidRPr="00FC69FB">
        <w:rPr>
          <w:rFonts w:ascii="Times New Roman" w:eastAsia="Times New Roman" w:hAnsi="Times New Roman" w:cs="Times New Roman"/>
          <w:sz w:val="24"/>
          <w:szCs w:val="24"/>
        </w:rPr>
        <w:t>) заводу(</w:t>
      </w:r>
      <w:proofErr w:type="spellStart"/>
      <w:r w:rsidRPr="00FC69FB">
        <w:rPr>
          <w:rFonts w:ascii="Times New Roman" w:eastAsia="Times New Roman" w:hAnsi="Times New Roman" w:cs="Times New Roman"/>
          <w:sz w:val="24"/>
          <w:szCs w:val="24"/>
        </w:rPr>
        <w:t>ів</w:t>
      </w:r>
      <w:proofErr w:type="spellEnd"/>
      <w:r w:rsidRPr="00FC69FB">
        <w:rPr>
          <w:rFonts w:ascii="Times New Roman" w:eastAsia="Times New Roman" w:hAnsi="Times New Roman" w:cs="Times New Roman"/>
          <w:sz w:val="24"/>
          <w:szCs w:val="24"/>
        </w:rPr>
        <w:t>), з якого(</w:t>
      </w:r>
      <w:proofErr w:type="spellStart"/>
      <w:r w:rsidRPr="00FC69FB">
        <w:rPr>
          <w:rFonts w:ascii="Times New Roman" w:eastAsia="Times New Roman" w:hAnsi="Times New Roman" w:cs="Times New Roman"/>
          <w:sz w:val="24"/>
          <w:szCs w:val="24"/>
        </w:rPr>
        <w:t>их</w:t>
      </w:r>
      <w:proofErr w:type="spellEnd"/>
      <w:r w:rsidRPr="00FC69FB">
        <w:rPr>
          <w:rFonts w:ascii="Times New Roman" w:eastAsia="Times New Roman" w:hAnsi="Times New Roman" w:cs="Times New Roman"/>
          <w:sz w:val="24"/>
          <w:szCs w:val="24"/>
        </w:rPr>
        <w:t>) будуть поставлятися асфальтобетонні суміші із зазначенням типу (стаціонарний або мобільний), найменування (марка і модель) та їх (його) місцезнаходження. У разі відсутності власного (орендованого) асфальтобетонного(</w:t>
      </w:r>
      <w:proofErr w:type="spellStart"/>
      <w:r w:rsidRPr="00FC69FB">
        <w:rPr>
          <w:rFonts w:ascii="Times New Roman" w:eastAsia="Times New Roman" w:hAnsi="Times New Roman" w:cs="Times New Roman"/>
          <w:sz w:val="24"/>
          <w:szCs w:val="24"/>
        </w:rPr>
        <w:t>их</w:t>
      </w:r>
      <w:proofErr w:type="spellEnd"/>
      <w:r w:rsidRPr="00FC69FB">
        <w:rPr>
          <w:rFonts w:ascii="Times New Roman" w:eastAsia="Times New Roman" w:hAnsi="Times New Roman" w:cs="Times New Roman"/>
          <w:sz w:val="24"/>
          <w:szCs w:val="24"/>
        </w:rPr>
        <w:t>) заводу(</w:t>
      </w:r>
      <w:proofErr w:type="spellStart"/>
      <w:r w:rsidRPr="00FC69FB">
        <w:rPr>
          <w:rFonts w:ascii="Times New Roman" w:eastAsia="Times New Roman" w:hAnsi="Times New Roman" w:cs="Times New Roman"/>
          <w:sz w:val="24"/>
          <w:szCs w:val="24"/>
        </w:rPr>
        <w:t>ів</w:t>
      </w:r>
      <w:proofErr w:type="spellEnd"/>
      <w:r w:rsidRPr="00FC69FB">
        <w:rPr>
          <w:rFonts w:ascii="Times New Roman" w:eastAsia="Times New Roman" w:hAnsi="Times New Roman" w:cs="Times New Roman"/>
          <w:sz w:val="24"/>
          <w:szCs w:val="24"/>
        </w:rPr>
        <w:t xml:space="preserve">) учасник подає договір поставки асфальтобетонних сумішей, укладений між учасником та виробником асфальтобетонних сумішей, додатком до якого є календарний план щодо щомісячних обсягів поставки по цьому договору протягом строку надання послуг; </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учасник подає інформацію про асфальтобетонний(ні) завод(и), з якого(</w:t>
      </w:r>
      <w:proofErr w:type="spellStart"/>
      <w:r w:rsidRPr="00FC69FB">
        <w:rPr>
          <w:rFonts w:ascii="Times New Roman" w:eastAsia="Times New Roman" w:hAnsi="Times New Roman" w:cs="Times New Roman"/>
          <w:sz w:val="24"/>
          <w:szCs w:val="24"/>
        </w:rPr>
        <w:t>их</w:t>
      </w:r>
      <w:proofErr w:type="spellEnd"/>
      <w:r w:rsidRPr="00FC69FB">
        <w:rPr>
          <w:rFonts w:ascii="Times New Roman" w:eastAsia="Times New Roman" w:hAnsi="Times New Roman" w:cs="Times New Roman"/>
          <w:sz w:val="24"/>
          <w:szCs w:val="24"/>
        </w:rPr>
        <w:t>) на об’єкт будуть поставлятися асфальтобетонні суміші із зазначенням типу (стаціонарний або мобільний), найменування (марка і модель), продуктивності та їх місцезнаходження; а також інформацію щодо запланованих обсягів випуску асфальтобетону щомісячно протягом строку надання послуг;</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xml:space="preserve">- учасник подає </w:t>
      </w:r>
      <w:proofErr w:type="spellStart"/>
      <w:r w:rsidRPr="00FC69FB">
        <w:rPr>
          <w:rFonts w:ascii="Times New Roman" w:eastAsia="Times New Roman" w:hAnsi="Times New Roman" w:cs="Times New Roman"/>
          <w:sz w:val="24"/>
          <w:szCs w:val="24"/>
        </w:rPr>
        <w:t>інформаціфю</w:t>
      </w:r>
      <w:proofErr w:type="spellEnd"/>
      <w:r w:rsidRPr="00FC69FB">
        <w:rPr>
          <w:rFonts w:ascii="Times New Roman" w:eastAsia="Times New Roman" w:hAnsi="Times New Roman" w:cs="Times New Roman"/>
          <w:sz w:val="24"/>
          <w:szCs w:val="24"/>
        </w:rPr>
        <w:t xml:space="preserve"> про асфальтобетонний завод (виробництво), яке повинно бути атестовано на виготовлення асфальтобетонних та щебенево-мастикових асфальтобетонних сумішей відповідно до вимог ДСТУ Б В.2.7-119:2011 та ДСТУ Б В.2.7-127:2015. Скановану копію атестату подається у складі тендерної пропозиції та повинен мати термін протягом надання послуг; </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xml:space="preserve">- відстань транспортування асфальтобетонних сумішей від місця їх випуску до місця укладання не повинна перевищувати значень, що вказані в таблиці 20.2а ДБН В.2.3-4:2015 (зі змінами), при цьому час транспортування асфальтобетонних сумішей не повинен перевищувати трьох годин. Учасник розраховує відстань транспортування (перевезення) асфальтобетонної </w:t>
      </w:r>
      <w:r w:rsidRPr="00FC69FB">
        <w:rPr>
          <w:rFonts w:ascii="Times New Roman" w:eastAsia="Times New Roman" w:hAnsi="Times New Roman" w:cs="Times New Roman"/>
          <w:sz w:val="24"/>
          <w:szCs w:val="24"/>
        </w:rPr>
        <w:lastRenderedPageBreak/>
        <w:t>суміші відповідно до вимог ДБН В.2.3-4-2015 зі змінами, із місця відпуску асфальтобетонної суміші (фактичного знаходження АБЗ на момент подання тендерної пропозиції) до об’єкту виконання робіт. В підтвердження дотримання Учасником даних вимог щодо часу транспортування асфальтобетонної суміші Учасник надає транспортну схему з зазначенням маршруту, відстані та часу транспортування (перевезення) асфальтобетонної суміші.</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учасник надає інформаційну довідку про наявність чи залучення випробувальної (вимірювальної) лабораторії на термін дії договору про закупівлю, в підтвердження цього Учасник надає копію відповідного договору, дійсного в продовж терміну надання послуг.</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учасник подає чинне Свідоцтво про відповідність системи вимірювання випробувальної лабораторії вимогам ДСТУ ISO 10012:2005 з додатком, де вказано об’єкти випробувань/ вимірювань та назви випробувань/вимірювань та/або характеристики (параметри), що визначається, які мають відповідати видам послуг (робіт), передбачених предметом закупівлі</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xml:space="preserve">- розрахунок ціни подається разом з договірною ціною та пояснювальної записки до неї, локальним кошторисом, підсумковою </w:t>
      </w:r>
      <w:proofErr w:type="spellStart"/>
      <w:r w:rsidRPr="00FC69FB">
        <w:rPr>
          <w:rFonts w:ascii="Times New Roman" w:eastAsia="Times New Roman" w:hAnsi="Times New Roman" w:cs="Times New Roman"/>
          <w:sz w:val="24"/>
          <w:szCs w:val="24"/>
        </w:rPr>
        <w:t>відомісті</w:t>
      </w:r>
      <w:proofErr w:type="spellEnd"/>
      <w:r w:rsidRPr="00FC69FB">
        <w:rPr>
          <w:rFonts w:ascii="Times New Roman" w:eastAsia="Times New Roman" w:hAnsi="Times New Roman" w:cs="Times New Roman"/>
          <w:sz w:val="24"/>
          <w:szCs w:val="24"/>
        </w:rPr>
        <w:t xml:space="preserve"> ресурсів, розрахунком загальновиробничих витрат до локального кошторису, розрахунком витрат на перевезення робітників, на відрядження робітників, на перебазування підрядної організації та інші (у разі врахування у договірній ціні), розрахунок прибутку та адміністративних витрат відповідно до вимог законодавства. Дані документи повинні бути виконані за видами та обсягами послуг які вказані/перелічені у вищевказаній таблиці на підставі діючих нормативних актів. Також, розрахунок ціни тендерної пропозиції повинен бути виконаний у програмному комплексі останньої версії (наприклад АВК – 5, тощо);</w:t>
      </w:r>
    </w:p>
    <w:p w:rsidR="00FC69FB" w:rsidRPr="00FC69FB" w:rsidRDefault="00FC69FB" w:rsidP="00FC69FB">
      <w:pPr>
        <w:spacing w:after="0" w:line="240" w:lineRule="auto"/>
        <w:ind w:firstLine="709"/>
        <w:jc w:val="both"/>
        <w:rPr>
          <w:rFonts w:ascii="Times New Roman" w:eastAsia="Times New Roman" w:hAnsi="Times New Roman" w:cs="Times New Roman"/>
          <w:sz w:val="24"/>
          <w:szCs w:val="24"/>
        </w:rPr>
      </w:pPr>
      <w:r w:rsidRPr="00FC69FB">
        <w:rPr>
          <w:rFonts w:ascii="Times New Roman" w:eastAsia="Times New Roman" w:hAnsi="Times New Roman" w:cs="Times New Roman"/>
          <w:sz w:val="24"/>
          <w:szCs w:val="24"/>
        </w:rPr>
        <w:t xml:space="preserve">- учасник подає </w:t>
      </w:r>
      <w:proofErr w:type="spellStart"/>
      <w:r w:rsidRPr="00FC69FB">
        <w:rPr>
          <w:rFonts w:ascii="Times New Roman" w:eastAsia="Times New Roman" w:hAnsi="Times New Roman" w:cs="Times New Roman"/>
          <w:sz w:val="24"/>
          <w:szCs w:val="24"/>
        </w:rPr>
        <w:t>гантійний</w:t>
      </w:r>
      <w:proofErr w:type="spellEnd"/>
      <w:r w:rsidRPr="00FC69FB">
        <w:rPr>
          <w:rFonts w:ascii="Times New Roman" w:eastAsia="Times New Roman" w:hAnsi="Times New Roman" w:cs="Times New Roman"/>
          <w:sz w:val="24"/>
          <w:szCs w:val="24"/>
        </w:rPr>
        <w:t xml:space="preserve"> лист, в якому гарантує при підписанні актів наданих послуг  надавати копії сертифікатів якості та копії накладних (або чеків) на основні матеріали, які будуть використані при вико</w:t>
      </w:r>
      <w:r w:rsidR="007675DD">
        <w:rPr>
          <w:rFonts w:ascii="Times New Roman" w:eastAsia="Times New Roman" w:hAnsi="Times New Roman" w:cs="Times New Roman"/>
          <w:sz w:val="24"/>
          <w:szCs w:val="24"/>
        </w:rPr>
        <w:t>нанні послуг для підтвердження Ї</w:t>
      </w:r>
      <w:bookmarkStart w:id="0" w:name="_GoBack"/>
      <w:bookmarkEnd w:id="0"/>
      <w:r w:rsidRPr="00FC69FB">
        <w:rPr>
          <w:rFonts w:ascii="Times New Roman" w:eastAsia="Times New Roman" w:hAnsi="Times New Roman" w:cs="Times New Roman"/>
          <w:sz w:val="24"/>
          <w:szCs w:val="24"/>
        </w:rPr>
        <w:t xml:space="preserve">х якості та вартості. </w:t>
      </w:r>
    </w:p>
    <w:p w:rsidR="00FC69FB" w:rsidRPr="008A2510" w:rsidRDefault="00FC69FB" w:rsidP="00FC69FB">
      <w:pPr>
        <w:spacing w:after="0" w:line="240" w:lineRule="auto"/>
        <w:jc w:val="both"/>
        <w:rPr>
          <w:rFonts w:ascii="Times New Roman" w:eastAsia="Times New Roman" w:hAnsi="Times New Roman" w:cs="Times New Roman"/>
          <w:sz w:val="24"/>
          <w:szCs w:val="24"/>
        </w:rPr>
      </w:pPr>
    </w:p>
    <w:p w:rsidR="00FC69FB" w:rsidRPr="00FC69FB" w:rsidRDefault="00FC69FB" w:rsidP="00FC69FB">
      <w:pPr>
        <w:spacing w:after="0" w:line="240" w:lineRule="auto"/>
        <w:ind w:hanging="11"/>
        <w:jc w:val="both"/>
        <w:rPr>
          <w:rFonts w:ascii="Times New Roman" w:eastAsia="Times New Roman" w:hAnsi="Times New Roman" w:cs="Times New Roman"/>
          <w:sz w:val="24"/>
          <w:szCs w:val="24"/>
        </w:rPr>
      </w:pPr>
    </w:p>
    <w:p w:rsidR="00FC69FB" w:rsidRPr="00FC69FB" w:rsidRDefault="00FC69FB" w:rsidP="00FC69FB">
      <w:pPr>
        <w:tabs>
          <w:tab w:val="left" w:pos="1080"/>
        </w:tabs>
        <w:spacing w:after="0" w:line="240" w:lineRule="auto"/>
        <w:ind w:right="22"/>
        <w:rPr>
          <w:rFonts w:ascii="Times New Roman" w:eastAsia="Times New Roman" w:hAnsi="Times New Roman" w:cs="Times New Roman"/>
          <w:sz w:val="24"/>
          <w:szCs w:val="24"/>
        </w:rPr>
      </w:pPr>
    </w:p>
    <w:p w:rsidR="00FC69FB" w:rsidRPr="00FC69FB" w:rsidRDefault="00FC69FB" w:rsidP="00FC69FB">
      <w:pPr>
        <w:pStyle w:val="11"/>
        <w:ind w:left="360"/>
        <w:rPr>
          <w:rFonts w:ascii="Times New Roman" w:eastAsia="Times New Roman" w:hAnsi="Times New Roman"/>
          <w:color w:val="auto"/>
          <w:sz w:val="24"/>
          <w:szCs w:val="24"/>
          <w:lang w:val="uk-UA"/>
        </w:rPr>
      </w:pPr>
    </w:p>
    <w:p w:rsidR="0050397E" w:rsidRPr="0050397E" w:rsidRDefault="0050397E" w:rsidP="00FC69FB">
      <w:pPr>
        <w:pStyle w:val="a4"/>
        <w:jc w:val="both"/>
        <w:rPr>
          <w:rFonts w:ascii="Times New Roman" w:eastAsia="Times New Roman" w:hAnsi="Times New Roman" w:cs="Times New Roman"/>
          <w:sz w:val="24"/>
          <w:szCs w:val="24"/>
        </w:rPr>
      </w:pPr>
    </w:p>
    <w:sectPr w:rsidR="0050397E" w:rsidRPr="0050397E" w:rsidSect="00DB7A2A">
      <w:pgSz w:w="11906" w:h="16838"/>
      <w:pgMar w:top="426"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BC6"/>
    <w:multiLevelType w:val="multilevel"/>
    <w:tmpl w:val="3E221248"/>
    <w:lvl w:ilvl="0">
      <w:start w:val="1"/>
      <w:numFmt w:val="decimal"/>
      <w:lvlText w:val="%1."/>
      <w:lvlJc w:val="left"/>
      <w:pPr>
        <w:ind w:left="360" w:hanging="360"/>
      </w:pPr>
      <w:rPr>
        <w:rFonts w:cs="Times New Roman" w:hint="default"/>
        <w:b/>
      </w:rPr>
    </w:lvl>
    <w:lvl w:ilvl="1">
      <w:start w:val="2"/>
      <w:numFmt w:val="decimal"/>
      <w:lvlText w:val="%1.%2."/>
      <w:lvlJc w:val="left"/>
      <w:pPr>
        <w:ind w:left="1069" w:hanging="360"/>
      </w:pPr>
      <w:rPr>
        <w:rFonts w:cs="Times New Roman" w:hint="default"/>
        <w:b w:val="0"/>
        <w:i w:val="0"/>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61"/>
    <w:rsid w:val="00056171"/>
    <w:rsid w:val="000B40F1"/>
    <w:rsid w:val="000C46B8"/>
    <w:rsid w:val="001078CE"/>
    <w:rsid w:val="00162851"/>
    <w:rsid w:val="001D2248"/>
    <w:rsid w:val="00245161"/>
    <w:rsid w:val="00264D53"/>
    <w:rsid w:val="00295E64"/>
    <w:rsid w:val="00324E36"/>
    <w:rsid w:val="0039702C"/>
    <w:rsid w:val="0043017D"/>
    <w:rsid w:val="0044294E"/>
    <w:rsid w:val="004465A0"/>
    <w:rsid w:val="00446CCB"/>
    <w:rsid w:val="004A4048"/>
    <w:rsid w:val="0050397E"/>
    <w:rsid w:val="0052217F"/>
    <w:rsid w:val="00555239"/>
    <w:rsid w:val="00596753"/>
    <w:rsid w:val="00686A7D"/>
    <w:rsid w:val="006D6447"/>
    <w:rsid w:val="00700DC5"/>
    <w:rsid w:val="00715C43"/>
    <w:rsid w:val="007302FA"/>
    <w:rsid w:val="007675DD"/>
    <w:rsid w:val="007B79CD"/>
    <w:rsid w:val="00904C40"/>
    <w:rsid w:val="00934AF1"/>
    <w:rsid w:val="0094761A"/>
    <w:rsid w:val="00A0580F"/>
    <w:rsid w:val="00AB6DC5"/>
    <w:rsid w:val="00B35023"/>
    <w:rsid w:val="00B834DC"/>
    <w:rsid w:val="00BE7216"/>
    <w:rsid w:val="00C14047"/>
    <w:rsid w:val="00C256F9"/>
    <w:rsid w:val="00C36DB2"/>
    <w:rsid w:val="00CB03C1"/>
    <w:rsid w:val="00CE501D"/>
    <w:rsid w:val="00CF187F"/>
    <w:rsid w:val="00D568BF"/>
    <w:rsid w:val="00DA7F9A"/>
    <w:rsid w:val="00DB47E4"/>
    <w:rsid w:val="00DB7A2A"/>
    <w:rsid w:val="00DE3943"/>
    <w:rsid w:val="00DF6537"/>
    <w:rsid w:val="00EE26B4"/>
    <w:rsid w:val="00F6181D"/>
    <w:rsid w:val="00FC6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BE7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1D22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216"/>
    <w:rPr>
      <w:rFonts w:ascii="Times New Roman" w:eastAsia="Times New Roman" w:hAnsi="Times New Roman" w:cs="Times New Roman"/>
      <w:b/>
      <w:bCs/>
      <w:kern w:val="36"/>
      <w:sz w:val="48"/>
      <w:szCs w:val="48"/>
      <w:lang w:val="uk-UA" w:eastAsia="uk-UA"/>
    </w:rPr>
  </w:style>
  <w:style w:type="character" w:styleId="a3">
    <w:name w:val="Hyperlink"/>
    <w:basedOn w:val="a0"/>
    <w:uiPriority w:val="99"/>
    <w:semiHidden/>
    <w:unhideWhenUsed/>
    <w:rsid w:val="0052217F"/>
    <w:rPr>
      <w:color w:val="0000FF"/>
      <w:u w:val="single"/>
    </w:rPr>
  </w:style>
  <w:style w:type="paragraph" w:customStyle="1" w:styleId="11">
    <w:name w:val="Без інтервалів1"/>
    <w:qFormat/>
    <w:rsid w:val="00A0580F"/>
    <w:pPr>
      <w:spacing w:after="0" w:line="240" w:lineRule="auto"/>
    </w:pPr>
    <w:rPr>
      <w:rFonts w:ascii="Calibri" w:eastAsia="Calibri" w:hAnsi="Calibri" w:cs="Times New Roman"/>
      <w:color w:val="00000A"/>
    </w:rPr>
  </w:style>
  <w:style w:type="paragraph" w:styleId="a4">
    <w:name w:val="No Spacing"/>
    <w:link w:val="a5"/>
    <w:uiPriority w:val="1"/>
    <w:qFormat/>
    <w:rsid w:val="00DB47E4"/>
    <w:pPr>
      <w:spacing w:after="0" w:line="240" w:lineRule="auto"/>
    </w:pPr>
    <w:rPr>
      <w:rFonts w:ascii="Calibri" w:eastAsia="Calibri" w:hAnsi="Calibri" w:cs="Calibri"/>
      <w:lang w:val="uk-UA"/>
    </w:rPr>
  </w:style>
  <w:style w:type="paragraph" w:styleId="HTML">
    <w:name w:val="HTML Preformatted"/>
    <w:aliases w:val="Знак9,Знак"/>
    <w:basedOn w:val="a"/>
    <w:link w:val="HTML0"/>
    <w:uiPriority w:val="99"/>
    <w:rsid w:val="00DB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1"/>
      <w:szCs w:val="21"/>
      <w:lang w:val="x-none" w:eastAsia="x-none"/>
    </w:rPr>
  </w:style>
  <w:style w:type="character" w:customStyle="1" w:styleId="HTML0">
    <w:name w:val="Стандартный HTML Знак"/>
    <w:aliases w:val="Знак9 Знак,Знак Знак"/>
    <w:basedOn w:val="a0"/>
    <w:link w:val="HTML"/>
    <w:uiPriority w:val="99"/>
    <w:rsid w:val="00DB47E4"/>
    <w:rPr>
      <w:rFonts w:ascii="Courier New" w:eastAsia="Times New Roman" w:hAnsi="Courier New" w:cs="Times New Roman"/>
      <w:sz w:val="21"/>
      <w:szCs w:val="21"/>
      <w:lang w:val="x-none" w:eastAsia="x-none"/>
    </w:rPr>
  </w:style>
  <w:style w:type="paragraph" w:customStyle="1" w:styleId="12">
    <w:name w:val="Абзац списка1"/>
    <w:basedOn w:val="a"/>
    <w:rsid w:val="00DB47E4"/>
    <w:pPr>
      <w:spacing w:after="0" w:line="240" w:lineRule="auto"/>
      <w:ind w:left="720"/>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1D2248"/>
    <w:rPr>
      <w:rFonts w:asciiTheme="majorHAnsi" w:eastAsiaTheme="majorEastAsia" w:hAnsiTheme="majorHAnsi" w:cstheme="majorBidi"/>
      <w:b/>
      <w:bCs/>
      <w:color w:val="4F81BD" w:themeColor="accent1"/>
      <w:sz w:val="26"/>
      <w:szCs w:val="26"/>
      <w:lang w:val="uk-UA"/>
    </w:rPr>
  </w:style>
  <w:style w:type="paragraph" w:styleId="a6">
    <w:name w:val="Body Text"/>
    <w:basedOn w:val="a"/>
    <w:link w:val="a7"/>
    <w:uiPriority w:val="99"/>
    <w:rsid w:val="0050397E"/>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50397E"/>
    <w:rPr>
      <w:rFonts w:ascii="Times New Roman" w:eastAsia="Times New Roman" w:hAnsi="Times New Roman" w:cs="Times New Roman"/>
      <w:sz w:val="24"/>
      <w:szCs w:val="24"/>
      <w:lang w:eastAsia="ru-RU"/>
    </w:rPr>
  </w:style>
  <w:style w:type="paragraph" w:customStyle="1" w:styleId="TableParagraph">
    <w:name w:val="Table Paragraph"/>
    <w:basedOn w:val="a"/>
    <w:uiPriority w:val="99"/>
    <w:qFormat/>
    <w:rsid w:val="00FC69FB"/>
    <w:pPr>
      <w:widowControl w:val="0"/>
      <w:spacing w:after="0" w:line="240" w:lineRule="auto"/>
      <w:ind w:left="100"/>
      <w:jc w:val="both"/>
    </w:pPr>
    <w:rPr>
      <w:rFonts w:ascii="Times New Roman" w:eastAsia="Times New Roman" w:hAnsi="Times New Roman" w:cs="Times New Roman"/>
      <w:lang w:val="en-US"/>
    </w:rPr>
  </w:style>
  <w:style w:type="character" w:customStyle="1" w:styleId="a5">
    <w:name w:val="Без интервала Знак"/>
    <w:link w:val="a4"/>
    <w:uiPriority w:val="1"/>
    <w:locked/>
    <w:rsid w:val="00FC69FB"/>
    <w:rPr>
      <w:rFonts w:ascii="Calibri" w:eastAsia="Calibri" w:hAnsi="Calibri" w:cs="Calibri"/>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BE7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1D22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216"/>
    <w:rPr>
      <w:rFonts w:ascii="Times New Roman" w:eastAsia="Times New Roman" w:hAnsi="Times New Roman" w:cs="Times New Roman"/>
      <w:b/>
      <w:bCs/>
      <w:kern w:val="36"/>
      <w:sz w:val="48"/>
      <w:szCs w:val="48"/>
      <w:lang w:val="uk-UA" w:eastAsia="uk-UA"/>
    </w:rPr>
  </w:style>
  <w:style w:type="character" w:styleId="a3">
    <w:name w:val="Hyperlink"/>
    <w:basedOn w:val="a0"/>
    <w:uiPriority w:val="99"/>
    <w:semiHidden/>
    <w:unhideWhenUsed/>
    <w:rsid w:val="0052217F"/>
    <w:rPr>
      <w:color w:val="0000FF"/>
      <w:u w:val="single"/>
    </w:rPr>
  </w:style>
  <w:style w:type="paragraph" w:customStyle="1" w:styleId="11">
    <w:name w:val="Без інтервалів1"/>
    <w:qFormat/>
    <w:rsid w:val="00A0580F"/>
    <w:pPr>
      <w:spacing w:after="0" w:line="240" w:lineRule="auto"/>
    </w:pPr>
    <w:rPr>
      <w:rFonts w:ascii="Calibri" w:eastAsia="Calibri" w:hAnsi="Calibri" w:cs="Times New Roman"/>
      <w:color w:val="00000A"/>
    </w:rPr>
  </w:style>
  <w:style w:type="paragraph" w:styleId="a4">
    <w:name w:val="No Spacing"/>
    <w:link w:val="a5"/>
    <w:uiPriority w:val="1"/>
    <w:qFormat/>
    <w:rsid w:val="00DB47E4"/>
    <w:pPr>
      <w:spacing w:after="0" w:line="240" w:lineRule="auto"/>
    </w:pPr>
    <w:rPr>
      <w:rFonts w:ascii="Calibri" w:eastAsia="Calibri" w:hAnsi="Calibri" w:cs="Calibri"/>
      <w:lang w:val="uk-UA"/>
    </w:rPr>
  </w:style>
  <w:style w:type="paragraph" w:styleId="HTML">
    <w:name w:val="HTML Preformatted"/>
    <w:aliases w:val="Знак9,Знак"/>
    <w:basedOn w:val="a"/>
    <w:link w:val="HTML0"/>
    <w:uiPriority w:val="99"/>
    <w:rsid w:val="00DB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1"/>
      <w:szCs w:val="21"/>
      <w:lang w:val="x-none" w:eastAsia="x-none"/>
    </w:rPr>
  </w:style>
  <w:style w:type="character" w:customStyle="1" w:styleId="HTML0">
    <w:name w:val="Стандартный HTML Знак"/>
    <w:aliases w:val="Знак9 Знак,Знак Знак"/>
    <w:basedOn w:val="a0"/>
    <w:link w:val="HTML"/>
    <w:uiPriority w:val="99"/>
    <w:rsid w:val="00DB47E4"/>
    <w:rPr>
      <w:rFonts w:ascii="Courier New" w:eastAsia="Times New Roman" w:hAnsi="Courier New" w:cs="Times New Roman"/>
      <w:sz w:val="21"/>
      <w:szCs w:val="21"/>
      <w:lang w:val="x-none" w:eastAsia="x-none"/>
    </w:rPr>
  </w:style>
  <w:style w:type="paragraph" w:customStyle="1" w:styleId="12">
    <w:name w:val="Абзац списка1"/>
    <w:basedOn w:val="a"/>
    <w:rsid w:val="00DB47E4"/>
    <w:pPr>
      <w:spacing w:after="0" w:line="240" w:lineRule="auto"/>
      <w:ind w:left="720"/>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1D2248"/>
    <w:rPr>
      <w:rFonts w:asciiTheme="majorHAnsi" w:eastAsiaTheme="majorEastAsia" w:hAnsiTheme="majorHAnsi" w:cstheme="majorBidi"/>
      <w:b/>
      <w:bCs/>
      <w:color w:val="4F81BD" w:themeColor="accent1"/>
      <w:sz w:val="26"/>
      <w:szCs w:val="26"/>
      <w:lang w:val="uk-UA"/>
    </w:rPr>
  </w:style>
  <w:style w:type="paragraph" w:styleId="a6">
    <w:name w:val="Body Text"/>
    <w:basedOn w:val="a"/>
    <w:link w:val="a7"/>
    <w:uiPriority w:val="99"/>
    <w:rsid w:val="0050397E"/>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50397E"/>
    <w:rPr>
      <w:rFonts w:ascii="Times New Roman" w:eastAsia="Times New Roman" w:hAnsi="Times New Roman" w:cs="Times New Roman"/>
      <w:sz w:val="24"/>
      <w:szCs w:val="24"/>
      <w:lang w:eastAsia="ru-RU"/>
    </w:rPr>
  </w:style>
  <w:style w:type="paragraph" w:customStyle="1" w:styleId="TableParagraph">
    <w:name w:val="Table Paragraph"/>
    <w:basedOn w:val="a"/>
    <w:uiPriority w:val="99"/>
    <w:qFormat/>
    <w:rsid w:val="00FC69FB"/>
    <w:pPr>
      <w:widowControl w:val="0"/>
      <w:spacing w:after="0" w:line="240" w:lineRule="auto"/>
      <w:ind w:left="100"/>
      <w:jc w:val="both"/>
    </w:pPr>
    <w:rPr>
      <w:rFonts w:ascii="Times New Roman" w:eastAsia="Times New Roman" w:hAnsi="Times New Roman" w:cs="Times New Roman"/>
      <w:lang w:val="en-US"/>
    </w:rPr>
  </w:style>
  <w:style w:type="character" w:customStyle="1" w:styleId="a5">
    <w:name w:val="Без интервала Знак"/>
    <w:link w:val="a4"/>
    <w:uiPriority w:val="1"/>
    <w:locked/>
    <w:rsid w:val="00FC69FB"/>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6145">
      <w:bodyDiv w:val="1"/>
      <w:marLeft w:val="0"/>
      <w:marRight w:val="0"/>
      <w:marTop w:val="0"/>
      <w:marBottom w:val="0"/>
      <w:divBdr>
        <w:top w:val="none" w:sz="0" w:space="0" w:color="auto"/>
        <w:left w:val="none" w:sz="0" w:space="0" w:color="auto"/>
        <w:bottom w:val="none" w:sz="0" w:space="0" w:color="auto"/>
        <w:right w:val="none" w:sz="0" w:space="0" w:color="auto"/>
      </w:divBdr>
    </w:div>
    <w:div w:id="418597971">
      <w:bodyDiv w:val="1"/>
      <w:marLeft w:val="0"/>
      <w:marRight w:val="0"/>
      <w:marTop w:val="0"/>
      <w:marBottom w:val="0"/>
      <w:divBdr>
        <w:top w:val="none" w:sz="0" w:space="0" w:color="auto"/>
        <w:left w:val="none" w:sz="0" w:space="0" w:color="auto"/>
        <w:bottom w:val="none" w:sz="0" w:space="0" w:color="auto"/>
        <w:right w:val="none" w:sz="0" w:space="0" w:color="auto"/>
      </w:divBdr>
      <w:divsChild>
        <w:div w:id="728653272">
          <w:marLeft w:val="0"/>
          <w:marRight w:val="0"/>
          <w:marTop w:val="0"/>
          <w:marBottom w:val="0"/>
          <w:divBdr>
            <w:top w:val="none" w:sz="0" w:space="0" w:color="auto"/>
            <w:left w:val="none" w:sz="0" w:space="0" w:color="auto"/>
            <w:bottom w:val="none" w:sz="0" w:space="0" w:color="auto"/>
            <w:right w:val="none" w:sz="0" w:space="0" w:color="auto"/>
          </w:divBdr>
          <w:divsChild>
            <w:div w:id="780993294">
              <w:marLeft w:val="0"/>
              <w:marRight w:val="0"/>
              <w:marTop w:val="0"/>
              <w:marBottom w:val="0"/>
              <w:divBdr>
                <w:top w:val="none" w:sz="0" w:space="0" w:color="auto"/>
                <w:left w:val="none" w:sz="0" w:space="0" w:color="auto"/>
                <w:bottom w:val="none" w:sz="0" w:space="0" w:color="auto"/>
                <w:right w:val="none" w:sz="0" w:space="0" w:color="auto"/>
              </w:divBdr>
            </w:div>
          </w:divsChild>
        </w:div>
        <w:div w:id="1809084059">
          <w:marLeft w:val="0"/>
          <w:marRight w:val="0"/>
          <w:marTop w:val="0"/>
          <w:marBottom w:val="0"/>
          <w:divBdr>
            <w:top w:val="none" w:sz="0" w:space="0" w:color="auto"/>
            <w:left w:val="none" w:sz="0" w:space="0" w:color="auto"/>
            <w:bottom w:val="none" w:sz="0" w:space="0" w:color="auto"/>
            <w:right w:val="none" w:sz="0" w:space="0" w:color="auto"/>
          </w:divBdr>
          <w:divsChild>
            <w:div w:id="1582370504">
              <w:marLeft w:val="0"/>
              <w:marRight w:val="0"/>
              <w:marTop w:val="0"/>
              <w:marBottom w:val="0"/>
              <w:divBdr>
                <w:top w:val="none" w:sz="0" w:space="0" w:color="auto"/>
                <w:left w:val="none" w:sz="0" w:space="0" w:color="auto"/>
                <w:bottom w:val="none" w:sz="0" w:space="0" w:color="auto"/>
                <w:right w:val="none" w:sz="0" w:space="0" w:color="auto"/>
              </w:divBdr>
            </w:div>
            <w:div w:id="636569212">
              <w:marLeft w:val="0"/>
              <w:marRight w:val="0"/>
              <w:marTop w:val="0"/>
              <w:marBottom w:val="0"/>
              <w:divBdr>
                <w:top w:val="none" w:sz="0" w:space="0" w:color="auto"/>
                <w:left w:val="none" w:sz="0" w:space="0" w:color="auto"/>
                <w:bottom w:val="none" w:sz="0" w:space="0" w:color="auto"/>
                <w:right w:val="none" w:sz="0" w:space="0" w:color="auto"/>
              </w:divBdr>
            </w:div>
            <w:div w:id="696656321">
              <w:marLeft w:val="0"/>
              <w:marRight w:val="0"/>
              <w:marTop w:val="0"/>
              <w:marBottom w:val="0"/>
              <w:divBdr>
                <w:top w:val="none" w:sz="0" w:space="0" w:color="auto"/>
                <w:left w:val="none" w:sz="0" w:space="0" w:color="auto"/>
                <w:bottom w:val="none" w:sz="0" w:space="0" w:color="auto"/>
                <w:right w:val="none" w:sz="0" w:space="0" w:color="auto"/>
              </w:divBdr>
            </w:div>
          </w:divsChild>
        </w:div>
        <w:div w:id="1184897885">
          <w:marLeft w:val="0"/>
          <w:marRight w:val="0"/>
          <w:marTop w:val="0"/>
          <w:marBottom w:val="0"/>
          <w:divBdr>
            <w:top w:val="none" w:sz="0" w:space="0" w:color="auto"/>
            <w:left w:val="none" w:sz="0" w:space="0" w:color="auto"/>
            <w:bottom w:val="none" w:sz="0" w:space="0" w:color="auto"/>
            <w:right w:val="none" w:sz="0" w:space="0" w:color="auto"/>
          </w:divBdr>
          <w:divsChild>
            <w:div w:id="1296371248">
              <w:marLeft w:val="0"/>
              <w:marRight w:val="0"/>
              <w:marTop w:val="0"/>
              <w:marBottom w:val="0"/>
              <w:divBdr>
                <w:top w:val="none" w:sz="0" w:space="0" w:color="auto"/>
                <w:left w:val="none" w:sz="0" w:space="0" w:color="auto"/>
                <w:bottom w:val="none" w:sz="0" w:space="0" w:color="auto"/>
                <w:right w:val="none" w:sz="0" w:space="0" w:color="auto"/>
              </w:divBdr>
            </w:div>
          </w:divsChild>
        </w:div>
        <w:div w:id="1908370600">
          <w:marLeft w:val="0"/>
          <w:marRight w:val="0"/>
          <w:marTop w:val="0"/>
          <w:marBottom w:val="0"/>
          <w:divBdr>
            <w:top w:val="none" w:sz="0" w:space="0" w:color="auto"/>
            <w:left w:val="none" w:sz="0" w:space="0" w:color="auto"/>
            <w:bottom w:val="none" w:sz="0" w:space="0" w:color="auto"/>
            <w:right w:val="none" w:sz="0" w:space="0" w:color="auto"/>
          </w:divBdr>
          <w:divsChild>
            <w:div w:id="11366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cp:lastPrinted>2024-05-07T06:10:00Z</cp:lastPrinted>
  <dcterms:created xsi:type="dcterms:W3CDTF">2022-10-25T11:06:00Z</dcterms:created>
  <dcterms:modified xsi:type="dcterms:W3CDTF">2024-05-21T07:38:00Z</dcterms:modified>
</cp:coreProperties>
</file>